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rPr>
          <w:rFonts w:hint="default" w:ascii="Times New Roman" w:hAnsi="Times New Roman" w:cs="Times New Roman"/>
          <w:sz w:val="44"/>
          <w:highlight w:val="none"/>
        </w:rPr>
      </w:pPr>
      <w:r>
        <w:rPr>
          <w:rFonts w:hint="default" w:ascii="Times New Roman" w:hAnsi="Times New Roman" w:cs="Times New Roman"/>
          <w:b/>
          <w:bCs/>
          <w:color w:val="auto"/>
          <w:sz w:val="44"/>
          <w:highlight w:val="none"/>
        </w:rPr>
        <w:drawing>
          <wp:anchor distT="0" distB="0" distL="114300" distR="114300" simplePos="0" relativeHeight="251659264" behindDoc="0" locked="0" layoutInCell="1" allowOverlap="1">
            <wp:simplePos x="0" y="0"/>
            <wp:positionH relativeFrom="column">
              <wp:posOffset>740410</wp:posOffset>
            </wp:positionH>
            <wp:positionV relativeFrom="paragraph">
              <wp:posOffset>505460</wp:posOffset>
            </wp:positionV>
            <wp:extent cx="3547745" cy="951230"/>
            <wp:effectExtent l="0" t="0" r="14605" b="1270"/>
            <wp:wrapNone/>
            <wp:docPr id="1" name="图片 2" descr="2013053110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0130531104840"/>
                    <pic:cNvPicPr>
                      <a:picLocks noChangeAspect="1"/>
                    </pic:cNvPicPr>
                  </pic:nvPicPr>
                  <pic:blipFill>
                    <a:blip r:embed="rId10"/>
                    <a:stretch>
                      <a:fillRect/>
                    </a:stretch>
                  </pic:blipFill>
                  <pic:spPr>
                    <a:xfrm>
                      <a:off x="0" y="0"/>
                      <a:ext cx="3547745" cy="951230"/>
                    </a:xfrm>
                    <a:prstGeom prst="rect">
                      <a:avLst/>
                    </a:prstGeom>
                    <a:noFill/>
                    <a:ln>
                      <a:noFill/>
                    </a:ln>
                  </pic:spPr>
                </pic:pic>
              </a:graphicData>
            </a:graphic>
          </wp:anchor>
        </w:drawing>
      </w:r>
    </w:p>
    <w:p>
      <w:pPr>
        <w:spacing w:line="800" w:lineRule="exact"/>
        <w:ind w:firstLine="2200" w:firstLineChars="500"/>
        <w:rPr>
          <w:rFonts w:hint="default" w:ascii="Times New Roman" w:hAnsi="Times New Roman" w:cs="Times New Roman"/>
          <w:b/>
          <w:bCs/>
          <w:color w:val="auto"/>
          <w:sz w:val="44"/>
          <w:highlight w:val="none"/>
          <w:lang w:val="en-US"/>
        </w:rPr>
      </w:pPr>
      <w:r>
        <w:rPr>
          <w:rFonts w:hint="default" w:ascii="Times New Roman" w:hAnsi="Times New Roman" w:cs="Times New Roman"/>
          <w:sz w:val="44"/>
          <w:highlight w:val="none"/>
          <w:lang w:eastAsia="zh-CN"/>
        </w:rPr>
        <w:tab/>
      </w:r>
      <w:r>
        <w:rPr>
          <w:rFonts w:hint="default" w:ascii="Times New Roman" w:hAnsi="Times New Roman" w:cs="Times New Roman"/>
          <w:b/>
          <w:bCs/>
          <w:color w:val="auto"/>
          <w:sz w:val="24"/>
          <w:highlight w:val="none"/>
          <w:lang w:val="en-US" w:eastAsia="zh-CN"/>
        </w:rPr>
        <w:t>高等学历继续教育</w:t>
      </w:r>
    </w:p>
    <w:p>
      <w:pPr>
        <w:tabs>
          <w:tab w:val="left" w:pos="7108"/>
        </w:tabs>
        <w:spacing w:line="800" w:lineRule="exact"/>
        <w:rPr>
          <w:rFonts w:hint="default" w:ascii="Times New Roman" w:hAnsi="Times New Roman" w:eastAsia="宋体" w:cs="Times New Roman"/>
          <w:sz w:val="44"/>
          <w:highlight w:val="none"/>
          <w:lang w:eastAsia="zh-CN"/>
        </w:rPr>
      </w:pPr>
    </w:p>
    <w:p>
      <w:pPr>
        <w:spacing w:line="800" w:lineRule="exact"/>
        <w:ind w:firstLine="1446" w:firstLineChars="400"/>
        <w:rPr>
          <w:rFonts w:hint="default" w:ascii="Times New Roman" w:hAnsi="Times New Roman" w:eastAsia="宋体" w:cs="Times New Roman"/>
          <w:b/>
          <w:bCs/>
          <w:sz w:val="36"/>
          <w:szCs w:val="36"/>
          <w:highlight w:val="none"/>
          <w:lang w:val="en-US" w:eastAsia="zh-CN"/>
        </w:rPr>
      </w:pPr>
      <w:r>
        <w:rPr>
          <w:rFonts w:hint="default" w:ascii="Times New Roman" w:hAnsi="Times New Roman" w:cs="Times New Roman"/>
          <w:b/>
          <w:bCs/>
          <w:sz w:val="36"/>
          <w:szCs w:val="36"/>
          <w:highlight w:val="none"/>
          <w:lang w:val="en-US" w:eastAsia="zh-CN"/>
        </w:rPr>
        <w:t>高等学历继续教育本科生毕业设计</w:t>
      </w:r>
    </w:p>
    <w:p>
      <w:pPr>
        <w:spacing w:line="480" w:lineRule="exact"/>
        <w:rPr>
          <w:rFonts w:hint="default" w:ascii="Times New Roman" w:hAnsi="Times New Roman" w:cs="Times New Roman"/>
          <w:sz w:val="52"/>
          <w:szCs w:val="52"/>
          <w:highlight w:val="none"/>
        </w:rPr>
      </w:pPr>
    </w:p>
    <w:p>
      <w:pPr>
        <w:spacing w:line="480" w:lineRule="exact"/>
        <w:rPr>
          <w:rFonts w:hint="default" w:ascii="Times New Roman" w:hAnsi="Times New Roman" w:cs="Times New Roman"/>
          <w:sz w:val="28"/>
          <w:highlight w:val="none"/>
        </w:rPr>
      </w:pPr>
    </w:p>
    <w:p>
      <w:pPr>
        <w:spacing w:line="480" w:lineRule="exact"/>
        <w:rPr>
          <w:rFonts w:hint="default" w:ascii="Times New Roman" w:hAnsi="Times New Roman" w:cs="Times New Roman"/>
          <w:sz w:val="28"/>
          <w:highlight w:val="none"/>
        </w:rPr>
      </w:pPr>
    </w:p>
    <w:p>
      <w:pPr>
        <w:spacing w:line="480" w:lineRule="exact"/>
        <w:rPr>
          <w:rFonts w:hint="default" w:ascii="Times New Roman" w:hAnsi="Times New Roman" w:cs="Times New Roman"/>
          <w:sz w:val="28"/>
          <w:highlight w:val="none"/>
        </w:rPr>
      </w:pPr>
    </w:p>
    <w:p>
      <w:pPr>
        <w:spacing w:line="480" w:lineRule="exact"/>
        <w:rPr>
          <w:rFonts w:hint="default" w:ascii="Times New Roman" w:hAnsi="Times New Roman" w:cs="Times New Roman"/>
          <w:sz w:val="28"/>
          <w:highlight w:val="none"/>
        </w:rPr>
      </w:pPr>
    </w:p>
    <w:p>
      <w:pPr>
        <w:adjustRightInd w:val="0"/>
        <w:snapToGrid w:val="0"/>
        <w:jc w:val="center"/>
        <w:rPr>
          <w:rFonts w:hint="default" w:ascii="Times New Roman" w:hAnsi="Times New Roman" w:eastAsia="黑体" w:cs="Times New Roman"/>
          <w:sz w:val="44"/>
          <w:szCs w:val="44"/>
          <w:highlight w:val="none"/>
        </w:rPr>
      </w:pPr>
      <w:r>
        <w:rPr>
          <w:rFonts w:hint="default" w:ascii="Times New Roman" w:hAnsi="Times New Roman" w:eastAsia="黑体" w:cs="Times New Roman"/>
          <w:sz w:val="44"/>
          <w:szCs w:val="44"/>
          <w:highlight w:val="none"/>
        </w:rPr>
        <w:t>加密货币在国际贸易中的</w:t>
      </w:r>
      <w:bookmarkStart w:id="52" w:name="_GoBack"/>
      <w:bookmarkEnd w:id="52"/>
      <w:r>
        <w:rPr>
          <w:rFonts w:hint="default" w:ascii="Times New Roman" w:hAnsi="Times New Roman" w:eastAsia="黑体" w:cs="Times New Roman"/>
          <w:sz w:val="44"/>
          <w:szCs w:val="44"/>
          <w:highlight w:val="none"/>
        </w:rPr>
        <w:t>应用与挑战</w:t>
      </w:r>
    </w:p>
    <w:p>
      <w:pPr>
        <w:adjustRightInd w:val="0"/>
        <w:snapToGrid w:val="0"/>
        <w:rPr>
          <w:rFonts w:hint="default" w:ascii="Times New Roman" w:hAnsi="Times New Roman" w:cs="Times New Roman"/>
          <w:sz w:val="44"/>
          <w:szCs w:val="44"/>
          <w:highlight w:val="none"/>
        </w:rPr>
      </w:pPr>
    </w:p>
    <w:p>
      <w:pPr>
        <w:spacing w:line="480" w:lineRule="exact"/>
        <w:rPr>
          <w:rFonts w:hint="default" w:ascii="Times New Roman" w:hAnsi="Times New Roman" w:cs="Times New Roman"/>
          <w:sz w:val="28"/>
          <w:highlight w:val="none"/>
        </w:rPr>
      </w:pPr>
    </w:p>
    <w:p>
      <w:pPr>
        <w:spacing w:line="480" w:lineRule="exact"/>
        <w:rPr>
          <w:rFonts w:hint="default" w:ascii="Times New Roman" w:hAnsi="Times New Roman" w:cs="Times New Roman"/>
          <w:sz w:val="28"/>
          <w:highlight w:val="none"/>
        </w:rPr>
      </w:pPr>
    </w:p>
    <w:p>
      <w:pPr>
        <w:spacing w:line="360" w:lineRule="auto"/>
        <w:rPr>
          <w:rFonts w:hint="default" w:ascii="Times New Roman" w:hAnsi="Times New Roman" w:cs="Times New Roman"/>
          <w:sz w:val="28"/>
          <w:highlight w:val="none"/>
        </w:rPr>
      </w:pPr>
    </w:p>
    <w:tbl>
      <w:tblPr>
        <w:tblStyle w:val="12"/>
        <w:tblW w:w="0" w:type="auto"/>
        <w:jc w:val="center"/>
        <w:tblLayout w:type="autofit"/>
        <w:tblCellMar>
          <w:top w:w="0" w:type="dxa"/>
          <w:left w:w="108" w:type="dxa"/>
          <w:bottom w:w="0" w:type="dxa"/>
          <w:right w:w="108" w:type="dxa"/>
        </w:tblCellMar>
      </w:tblPr>
      <w:tblGrid>
        <w:gridCol w:w="1868"/>
        <w:gridCol w:w="3768"/>
      </w:tblGrid>
      <w:tr>
        <w:tblPrEx>
          <w:tblCellMar>
            <w:top w:w="0" w:type="dxa"/>
            <w:left w:w="108" w:type="dxa"/>
            <w:bottom w:w="0" w:type="dxa"/>
            <w:right w:w="108" w:type="dxa"/>
          </w:tblCellMar>
        </w:tblPrEx>
        <w:trPr>
          <w:trHeight w:val="680" w:hRule="atLeast"/>
          <w:jc w:val="center"/>
        </w:trPr>
        <w:tc>
          <w:tcPr>
            <w:tcW w:w="1868" w:type="dxa"/>
            <w:noWrap w:val="0"/>
            <w:vAlign w:val="bottom"/>
          </w:tcPr>
          <w:p>
            <w:pPr>
              <w:adjustRightInd w:val="0"/>
              <w:snapToGrid w:val="0"/>
              <w:jc w:val="center"/>
              <w:rPr>
                <w:rFonts w:hint="default" w:ascii="Times New Roman" w:hAnsi="Times New Roman" w:eastAsia="黑体" w:cs="Times New Roman"/>
                <w:sz w:val="30"/>
                <w:szCs w:val="30"/>
                <w:highlight w:val="none"/>
                <w:u w:val="single"/>
              </w:rPr>
            </w:pPr>
            <w:r>
              <w:rPr>
                <w:rFonts w:hint="default" w:ascii="Times New Roman" w:hAnsi="Times New Roman" w:eastAsia="黑体" w:cs="Times New Roman"/>
                <w:sz w:val="30"/>
                <w:szCs w:val="30"/>
                <w:highlight w:val="none"/>
              </w:rPr>
              <w:t>学 生 姓 名</w:t>
            </w:r>
          </w:p>
        </w:tc>
        <w:tc>
          <w:tcPr>
            <w:tcW w:w="3768" w:type="dxa"/>
            <w:tcBorders>
              <w:bottom w:val="single" w:color="auto" w:sz="4" w:space="0"/>
            </w:tcBorders>
            <w:noWrap w:val="0"/>
            <w:vAlign w:val="bottom"/>
          </w:tcPr>
          <w:p>
            <w:pPr>
              <w:adjustRightInd w:val="0"/>
              <w:snapToGrid w:val="0"/>
              <w:rPr>
                <w:rFonts w:hint="default" w:ascii="Times New Roman" w:hAnsi="Times New Roman" w:cs="Times New Roman"/>
                <w:sz w:val="30"/>
                <w:szCs w:val="30"/>
                <w:highlight w:val="none"/>
                <w:u w:val="single"/>
              </w:rPr>
            </w:pPr>
          </w:p>
        </w:tc>
      </w:tr>
      <w:tr>
        <w:tblPrEx>
          <w:tblCellMar>
            <w:top w:w="0" w:type="dxa"/>
            <w:left w:w="108" w:type="dxa"/>
            <w:bottom w:w="0" w:type="dxa"/>
            <w:right w:w="108" w:type="dxa"/>
          </w:tblCellMar>
        </w:tblPrEx>
        <w:trPr>
          <w:trHeight w:val="680" w:hRule="atLeast"/>
          <w:jc w:val="center"/>
        </w:trPr>
        <w:tc>
          <w:tcPr>
            <w:tcW w:w="1868" w:type="dxa"/>
            <w:noWrap w:val="0"/>
            <w:vAlign w:val="bottom"/>
          </w:tcPr>
          <w:p>
            <w:pPr>
              <w:adjustRightInd w:val="0"/>
              <w:snapToGrid w:val="0"/>
              <w:jc w:val="center"/>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专       业</w:t>
            </w:r>
          </w:p>
        </w:tc>
        <w:tc>
          <w:tcPr>
            <w:tcW w:w="3768" w:type="dxa"/>
            <w:tcBorders>
              <w:top w:val="single" w:color="auto" w:sz="4" w:space="0"/>
              <w:bottom w:val="single" w:color="auto" w:sz="4" w:space="0"/>
            </w:tcBorders>
            <w:noWrap w:val="0"/>
            <w:vAlign w:val="bottom"/>
          </w:tcPr>
          <w:p>
            <w:pPr>
              <w:adjustRightInd w:val="0"/>
              <w:snapToGrid w:val="0"/>
              <w:jc w:val="center"/>
              <w:rPr>
                <w:rFonts w:hint="default" w:ascii="Times New Roman" w:hAnsi="Times New Roman" w:eastAsia="宋体" w:cs="Times New Roman"/>
                <w:sz w:val="30"/>
                <w:szCs w:val="30"/>
                <w:highlight w:val="none"/>
                <w:u w:val="single"/>
                <w:lang w:val="en-US" w:eastAsia="zh-CN"/>
              </w:rPr>
            </w:pPr>
            <w:r>
              <w:rPr>
                <w:rFonts w:hint="eastAsia" w:ascii="Times New Roman" w:hAnsi="Times New Roman" w:cs="Times New Roman"/>
                <w:sz w:val="30"/>
                <w:szCs w:val="30"/>
                <w:highlight w:val="none"/>
                <w:u w:val="none"/>
                <w:lang w:val="en-US" w:eastAsia="zh-CN"/>
              </w:rPr>
              <w:t>国际经济与贸易</w:t>
            </w:r>
          </w:p>
        </w:tc>
      </w:tr>
      <w:tr>
        <w:tblPrEx>
          <w:tblCellMar>
            <w:top w:w="0" w:type="dxa"/>
            <w:left w:w="108" w:type="dxa"/>
            <w:bottom w:w="0" w:type="dxa"/>
            <w:right w:w="108" w:type="dxa"/>
          </w:tblCellMar>
        </w:tblPrEx>
        <w:trPr>
          <w:trHeight w:val="680" w:hRule="atLeast"/>
          <w:jc w:val="center"/>
        </w:trPr>
        <w:tc>
          <w:tcPr>
            <w:tcW w:w="1868" w:type="dxa"/>
            <w:noWrap w:val="0"/>
            <w:vAlign w:val="bottom"/>
          </w:tcPr>
          <w:p>
            <w:pPr>
              <w:adjustRightInd w:val="0"/>
              <w:snapToGrid w:val="0"/>
              <w:jc w:val="center"/>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学       号</w:t>
            </w:r>
          </w:p>
        </w:tc>
        <w:tc>
          <w:tcPr>
            <w:tcW w:w="3768" w:type="dxa"/>
            <w:tcBorders>
              <w:top w:val="single" w:color="auto" w:sz="4" w:space="0"/>
              <w:bottom w:val="single" w:color="auto" w:sz="4" w:space="0"/>
            </w:tcBorders>
            <w:noWrap w:val="0"/>
            <w:vAlign w:val="bottom"/>
          </w:tcPr>
          <w:p>
            <w:pPr>
              <w:adjustRightInd w:val="0"/>
              <w:snapToGrid w:val="0"/>
              <w:rPr>
                <w:rFonts w:hint="default" w:ascii="Times New Roman" w:hAnsi="Times New Roman" w:cs="Times New Roman"/>
                <w:sz w:val="30"/>
                <w:szCs w:val="30"/>
                <w:highlight w:val="none"/>
                <w:u w:val="single"/>
              </w:rPr>
            </w:pPr>
          </w:p>
        </w:tc>
      </w:tr>
      <w:tr>
        <w:tblPrEx>
          <w:tblCellMar>
            <w:top w:w="0" w:type="dxa"/>
            <w:left w:w="108" w:type="dxa"/>
            <w:bottom w:w="0" w:type="dxa"/>
            <w:right w:w="108" w:type="dxa"/>
          </w:tblCellMar>
        </w:tblPrEx>
        <w:trPr>
          <w:trHeight w:val="680" w:hRule="atLeast"/>
          <w:jc w:val="center"/>
        </w:trPr>
        <w:tc>
          <w:tcPr>
            <w:tcW w:w="1868" w:type="dxa"/>
            <w:noWrap w:val="0"/>
            <w:vAlign w:val="bottom"/>
          </w:tcPr>
          <w:p>
            <w:pPr>
              <w:adjustRightInd w:val="0"/>
              <w:snapToGrid w:val="0"/>
              <w:jc w:val="center"/>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指 导 教 师</w:t>
            </w:r>
          </w:p>
        </w:tc>
        <w:tc>
          <w:tcPr>
            <w:tcW w:w="3768" w:type="dxa"/>
            <w:tcBorders>
              <w:top w:val="single" w:color="auto" w:sz="4" w:space="0"/>
              <w:bottom w:val="single" w:color="auto" w:sz="4" w:space="0"/>
            </w:tcBorders>
            <w:noWrap w:val="0"/>
            <w:vAlign w:val="bottom"/>
          </w:tcPr>
          <w:p>
            <w:pPr>
              <w:adjustRightInd w:val="0"/>
              <w:snapToGrid w:val="0"/>
              <w:rPr>
                <w:rFonts w:hint="default" w:ascii="Times New Roman" w:hAnsi="Times New Roman" w:cs="Times New Roman"/>
                <w:sz w:val="30"/>
                <w:szCs w:val="30"/>
                <w:highlight w:val="none"/>
                <w:u w:val="single"/>
              </w:rPr>
            </w:pPr>
          </w:p>
        </w:tc>
      </w:tr>
    </w:tbl>
    <w:p>
      <w:pPr>
        <w:spacing w:line="480" w:lineRule="exact"/>
        <w:rPr>
          <w:rFonts w:hint="default" w:ascii="Times New Roman" w:hAnsi="Times New Roman" w:cs="Times New Roman"/>
          <w:sz w:val="28"/>
          <w:highlight w:val="none"/>
        </w:rPr>
      </w:pPr>
    </w:p>
    <w:p>
      <w:pPr>
        <w:spacing w:line="480" w:lineRule="exact"/>
        <w:rPr>
          <w:rFonts w:hint="default" w:ascii="Times New Roman" w:hAnsi="Times New Roman" w:cs="Times New Roman"/>
          <w:sz w:val="28"/>
          <w:highlight w:val="none"/>
        </w:rPr>
      </w:pPr>
    </w:p>
    <w:p>
      <w:pPr>
        <w:spacing w:line="480" w:lineRule="exact"/>
        <w:rPr>
          <w:rFonts w:hint="default" w:ascii="Times New Roman" w:hAnsi="Times New Roman" w:cs="Times New Roman"/>
          <w:sz w:val="28"/>
          <w:highlight w:val="none"/>
        </w:rPr>
      </w:pPr>
    </w:p>
    <w:p>
      <w:pPr>
        <w:spacing w:line="480" w:lineRule="exact"/>
        <w:rPr>
          <w:rFonts w:hint="default" w:ascii="Times New Roman" w:hAnsi="Times New Roman" w:cs="Times New Roman"/>
          <w:sz w:val="28"/>
          <w:highlight w:val="none"/>
        </w:rPr>
      </w:pPr>
    </w:p>
    <w:p>
      <w:pPr>
        <w:rPr>
          <w:rFonts w:hint="default" w:ascii="Times New Roman" w:hAnsi="Times New Roman" w:cs="Times New Roman"/>
          <w:sz w:val="24"/>
          <w:highlight w:val="none"/>
        </w:rPr>
      </w:pPr>
    </w:p>
    <w:p>
      <w:pPr>
        <w:jc w:val="center"/>
        <w:outlineLvl w:val="0"/>
        <w:rPr>
          <w:rFonts w:hint="default" w:ascii="Times New Roman" w:hAnsi="Times New Roman" w:eastAsia="仿宋_GB2312" w:cs="Times New Roman"/>
          <w:b/>
          <w:bCs/>
          <w:sz w:val="32"/>
          <w:szCs w:val="32"/>
          <w:highlight w:val="none"/>
        </w:rPr>
        <w:sectPr>
          <w:headerReference r:id="rId3" w:type="first"/>
          <w:pgSz w:w="11906" w:h="16838"/>
          <w:pgMar w:top="1440" w:right="1800" w:bottom="1440" w:left="1800" w:header="851" w:footer="992" w:gutter="0"/>
          <w:cols w:space="720" w:num="1"/>
          <w:titlePg/>
          <w:docGrid w:type="lines" w:linePitch="312" w:charSpace="0"/>
        </w:sectPr>
      </w:pPr>
      <w:bookmarkStart w:id="0" w:name="_Toc1871"/>
    </w:p>
    <w:p>
      <w:pPr>
        <w:adjustRightInd w:val="0"/>
        <w:snapToGrid w:val="0"/>
        <w:jc w:val="center"/>
        <w:rPr>
          <w:rFonts w:hint="default" w:ascii="Times New Roman" w:hAnsi="Times New Roman" w:eastAsia="仿宋_GB2312" w:cs="Times New Roman"/>
          <w:b/>
          <w:bCs/>
          <w:color w:val="000000"/>
          <w:sz w:val="32"/>
          <w:szCs w:val="32"/>
          <w:highlight w:val="none"/>
        </w:rPr>
      </w:pPr>
      <w:bookmarkStart w:id="1" w:name="_Toc29440"/>
      <w:r>
        <w:rPr>
          <w:rFonts w:hint="default" w:ascii="Times New Roman" w:hAnsi="Times New Roman" w:eastAsia="仿宋_GB2312" w:cs="Times New Roman"/>
          <w:b/>
          <w:bCs/>
          <w:color w:val="000000"/>
          <w:sz w:val="32"/>
          <w:szCs w:val="32"/>
          <w:highlight w:val="none"/>
        </w:rPr>
        <w:t>毕业设计（论文）原创承诺书</w:t>
      </w:r>
      <w:bookmarkEnd w:id="0"/>
      <w:bookmarkEnd w:id="1"/>
    </w:p>
    <w:p>
      <w:pPr>
        <w:rPr>
          <w:rFonts w:hint="default" w:ascii="Times New Roman" w:hAnsi="Times New Roman" w:eastAsia="仿宋_GB2312" w:cs="Times New Roman"/>
          <w:sz w:val="28"/>
          <w:szCs w:val="28"/>
          <w:highlight w:val="none"/>
        </w:rPr>
      </w:pPr>
    </w:p>
    <w:p>
      <w:pPr>
        <w:spacing w:line="480" w:lineRule="auto"/>
        <w:ind w:firstLine="56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1.本人承诺：所呈交的毕业设计（论文）《</w:t>
      </w:r>
      <w:r>
        <w:rPr>
          <w:rFonts w:hint="default"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》，是认真学习理解</w:t>
      </w:r>
      <w:r>
        <w:rPr>
          <w:rFonts w:hint="default" w:ascii="Times New Roman" w:hAnsi="Times New Roman" w:eastAsia="仿宋_GB2312" w:cs="Times New Roman"/>
          <w:color w:val="000000"/>
          <w:sz w:val="28"/>
          <w:szCs w:val="28"/>
          <w:highlight w:val="none"/>
        </w:rPr>
        <w:t>学校的《长春理工大学本科毕业设计（论文）工作条例</w:t>
      </w:r>
      <w:r>
        <w:rPr>
          <w:rFonts w:hint="default" w:ascii="Times New Roman" w:hAnsi="Times New Roman" w:eastAsia="仿宋_GB2312" w:cs="Times New Roman"/>
          <w:sz w:val="28"/>
          <w:szCs w:val="28"/>
          <w:highlight w:val="none"/>
        </w:rPr>
        <w:t>》后，在教师的指导下，保质保量独立地完成了任务书中规定的内容，不弄虚作假，不抄袭别人的工作内容。</w:t>
      </w:r>
    </w:p>
    <w:p>
      <w:pPr>
        <w:spacing w:line="480" w:lineRule="auto"/>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2．本人在毕业设计（论文）中引用他人的观点和研究成果，均在文中加以注释或以参考文献形式列出，对本文的研究工作做出重要贡献的个人和集体均已在文中注明。</w:t>
      </w:r>
    </w:p>
    <w:p>
      <w:pPr>
        <w:spacing w:line="480" w:lineRule="auto"/>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3．在毕业设计（论文）中对侵犯任何方面知识产权的行为，由本人承担相应的法律责任。</w:t>
      </w:r>
    </w:p>
    <w:p>
      <w:pPr>
        <w:spacing w:line="480" w:lineRule="auto"/>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4．本人完全了解学校关于保存、使用毕业设计（论文）的规定，即：按照学校要求提交论文和相关材料的印刷本和电子版本；同意学校保留毕业设计（论文）的复印件和电子版本，允许被查阅和借阅；学校可以采用影印、缩印或其他复制手段保存毕业设计（论文），可以公布其中的全部或部分内容。</w:t>
      </w:r>
    </w:p>
    <w:p>
      <w:pPr>
        <w:spacing w:line="500" w:lineRule="exact"/>
        <w:ind w:firstLine="560" w:firstLineChars="200"/>
        <w:rPr>
          <w:rFonts w:hint="default" w:ascii="Times New Roman" w:hAnsi="Times New Roman" w:eastAsia="仿宋_GB2312" w:cs="Times New Roman"/>
          <w:sz w:val="28"/>
          <w:szCs w:val="28"/>
          <w:highlight w:val="none"/>
        </w:rPr>
      </w:pPr>
    </w:p>
    <w:p>
      <w:pPr>
        <w:spacing w:line="480" w:lineRule="auto"/>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以上承诺的法律结果将完全由本人承担！</w:t>
      </w:r>
    </w:p>
    <w:p>
      <w:pPr>
        <w:spacing w:line="480" w:lineRule="auto"/>
        <w:rPr>
          <w:rFonts w:hint="default" w:ascii="Times New Roman" w:hAnsi="Times New Roman" w:eastAsia="仿宋_GB2312" w:cs="Times New Roman"/>
          <w:sz w:val="28"/>
          <w:szCs w:val="28"/>
          <w:highlight w:val="none"/>
        </w:rPr>
      </w:pPr>
    </w:p>
    <w:p>
      <w:pPr>
        <w:jc w:val="right"/>
        <w:rPr>
          <w:rFonts w:hint="default" w:ascii="Times New Roman" w:hAnsi="Times New Roman" w:cs="Times New Roman"/>
          <w:sz w:val="24"/>
          <w:highlight w:val="none"/>
        </w:rPr>
      </w:pPr>
      <w:r>
        <w:rPr>
          <w:rFonts w:hint="default" w:ascii="Times New Roman" w:hAnsi="Times New Roman" w:eastAsia="仿宋_GB2312" w:cs="Times New Roman"/>
          <w:color w:val="000000"/>
          <w:kern w:val="0"/>
          <w:sz w:val="28"/>
          <w:szCs w:val="28"/>
          <w:highlight w:val="none"/>
        </w:rPr>
        <w:t>作 者 签 名：       年月日</w:t>
      </w:r>
    </w:p>
    <w:p>
      <w:pPr>
        <w:rPr>
          <w:rFonts w:hint="default" w:ascii="Times New Roman" w:hAnsi="Times New Roman" w:cs="Times New Roman"/>
          <w:sz w:val="24"/>
          <w:highlight w:val="none"/>
        </w:rPr>
      </w:pPr>
    </w:p>
    <w:p>
      <w:pPr>
        <w:rPr>
          <w:rFonts w:hint="default" w:ascii="Times New Roman" w:hAnsi="Times New Roman" w:cs="Times New Roman"/>
          <w:sz w:val="24"/>
          <w:highlight w:val="none"/>
        </w:rPr>
      </w:pPr>
    </w:p>
    <w:p>
      <w:pPr>
        <w:pStyle w:val="3"/>
        <w:adjustRightInd w:val="0"/>
        <w:snapToGrid w:val="0"/>
        <w:spacing w:before="0" w:after="312" w:afterLines="100" w:line="300" w:lineRule="auto"/>
        <w:jc w:val="center"/>
        <w:rPr>
          <w:rStyle w:val="16"/>
          <w:rFonts w:hint="default" w:ascii="Times New Roman" w:hAnsi="Times New Roman" w:eastAsia="宋体" w:cs="Times New Roman"/>
          <w:b/>
          <w:bCs/>
          <w:highlight w:val="none"/>
        </w:rPr>
        <w:sectPr>
          <w:headerReference r:id="rId4" w:type="default"/>
          <w:pgSz w:w="11906" w:h="16838"/>
          <w:pgMar w:top="1440" w:right="1800" w:bottom="1440" w:left="1800" w:header="851" w:footer="992" w:gutter="0"/>
          <w:pgNumType w:start="1"/>
          <w:cols w:space="720" w:num="1"/>
          <w:docGrid w:type="lines" w:linePitch="312" w:charSpace="0"/>
        </w:sectPr>
      </w:pPr>
    </w:p>
    <w:p>
      <w:pPr>
        <w:pStyle w:val="2"/>
        <w:adjustRightInd w:val="0"/>
        <w:snapToGrid w:val="0"/>
        <w:spacing w:before="0" w:after="312" w:afterLines="100" w:line="300" w:lineRule="auto"/>
        <w:jc w:val="center"/>
        <w:rPr>
          <w:rFonts w:hint="default" w:ascii="Times New Roman" w:hAnsi="Times New Roman" w:eastAsia="宋体" w:cs="Times New Roman"/>
          <w:b/>
          <w:sz w:val="32"/>
          <w:szCs w:val="32"/>
          <w:highlight w:val="none"/>
        </w:rPr>
      </w:pPr>
      <w:bookmarkStart w:id="2" w:name="_Toc23275"/>
      <w:r>
        <w:rPr>
          <w:rFonts w:hint="default" w:ascii="Times New Roman" w:hAnsi="Times New Roman" w:eastAsia="宋体" w:cs="Times New Roman"/>
          <w:b/>
          <w:sz w:val="32"/>
          <w:szCs w:val="32"/>
          <w:highlight w:val="none"/>
        </w:rPr>
        <w:t>摘  要</w:t>
      </w:r>
      <w:bookmarkEnd w:id="2"/>
    </w:p>
    <w:p>
      <w:pPr>
        <w:adjustRightInd w:val="0"/>
        <w:snapToGrid w:val="0"/>
        <w:spacing w:line="300" w:lineRule="auto"/>
        <w:ind w:firstLine="480" w:firstLineChars="200"/>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本文探讨了加密货币在国际贸易中的应用及其面临的挑战。加密货币以其低交易成本、高安全性与透明度、促进贸易便利化与普惠性，以及推动跨境电子商务发展等优势，在国际贸易中展现出巨大潜力。然而，监管不一致性、法律不确定性、价格波动、金融市场风险、匿名性带来的反洗钱与反恐怖融资挑战，以及技术安全与稳定性风险等问题也随之而来。为应对这些挑战，本文提出了加强国际合作、统一监管标准、完善监管体系、建立风险防控机制、提升技术安全水平、保障交易安全，以及加强公众教育与宣传等优化策略。通过这些策略的实施，旨在促进加密货币在国际贸易中的健康发展，为国际贸易提供更为便捷、安全、高效的支付方式。</w:t>
      </w:r>
    </w:p>
    <w:p>
      <w:pPr>
        <w:rPr>
          <w:rFonts w:hint="eastAsia"/>
        </w:rPr>
      </w:pPr>
    </w:p>
    <w:p>
      <w:pPr>
        <w:adjustRightInd w:val="0"/>
        <w:snapToGrid w:val="0"/>
        <w:spacing w:line="300" w:lineRule="auto"/>
        <w:rPr>
          <w:rFonts w:hint="default" w:ascii="Times New Roman" w:hAnsi="Times New Roman" w:cs="Times New Roman"/>
          <w:sz w:val="24"/>
          <w:highlight w:val="none"/>
        </w:rPr>
      </w:pPr>
      <w:r>
        <w:rPr>
          <w:rFonts w:hint="eastAsia" w:ascii="Times New Roman" w:hAnsi="Times New Roman" w:eastAsia="黑体" w:cs="Times New Roman"/>
          <w:sz w:val="24"/>
          <w:highlight w:val="none"/>
        </w:rPr>
        <w:t>关键词：加密货币</w:t>
      </w:r>
      <w:r>
        <w:rPr>
          <w:rFonts w:hint="eastAsia" w:ascii="Times New Roman" w:hAnsi="Times New Roman" w:eastAsia="黑体" w:cs="Times New Roman"/>
          <w:sz w:val="24"/>
          <w:highlight w:val="none"/>
          <w:lang w:val="en-US" w:eastAsia="zh-CN"/>
        </w:rPr>
        <w:t xml:space="preserve">  </w:t>
      </w:r>
      <w:r>
        <w:rPr>
          <w:rFonts w:hint="eastAsia" w:ascii="Times New Roman" w:hAnsi="Times New Roman" w:eastAsia="黑体" w:cs="Times New Roman"/>
          <w:sz w:val="24"/>
          <w:highlight w:val="none"/>
        </w:rPr>
        <w:t>国际贸易</w:t>
      </w:r>
      <w:r>
        <w:rPr>
          <w:rFonts w:hint="eastAsia" w:ascii="Times New Roman" w:hAnsi="Times New Roman" w:eastAsia="黑体" w:cs="Times New Roman"/>
          <w:sz w:val="24"/>
          <w:highlight w:val="none"/>
          <w:lang w:val="en-US" w:eastAsia="zh-CN"/>
        </w:rPr>
        <w:t xml:space="preserve">  </w:t>
      </w:r>
      <w:r>
        <w:rPr>
          <w:rFonts w:hint="eastAsia" w:ascii="Times New Roman" w:hAnsi="Times New Roman" w:eastAsia="黑体" w:cs="Times New Roman"/>
          <w:sz w:val="24"/>
          <w:highlight w:val="none"/>
        </w:rPr>
        <w:t>监管挑战</w:t>
      </w:r>
      <w:r>
        <w:rPr>
          <w:rFonts w:hint="eastAsia" w:ascii="Times New Roman" w:hAnsi="Times New Roman" w:eastAsia="黑体" w:cs="Times New Roman"/>
          <w:sz w:val="24"/>
          <w:highlight w:val="none"/>
          <w:lang w:val="en-US" w:eastAsia="zh-CN"/>
        </w:rPr>
        <w:t xml:space="preserve">  </w:t>
      </w:r>
      <w:r>
        <w:rPr>
          <w:rFonts w:hint="eastAsia" w:ascii="Times New Roman" w:hAnsi="Times New Roman" w:eastAsia="黑体" w:cs="Times New Roman"/>
          <w:sz w:val="24"/>
          <w:highlight w:val="none"/>
        </w:rPr>
        <w:t>优化策略</w:t>
      </w:r>
      <w:r>
        <w:rPr>
          <w:rFonts w:hint="eastAsia" w:ascii="Times New Roman" w:hAnsi="Times New Roman" w:eastAsia="黑体" w:cs="Times New Roman"/>
          <w:sz w:val="24"/>
          <w:highlight w:val="none"/>
          <w:lang w:val="en-US" w:eastAsia="zh-CN"/>
        </w:rPr>
        <w:t xml:space="preserve">  </w:t>
      </w:r>
      <w:r>
        <w:rPr>
          <w:rFonts w:hint="eastAsia" w:ascii="Times New Roman" w:hAnsi="Times New Roman" w:eastAsia="黑体" w:cs="Times New Roman"/>
          <w:sz w:val="24"/>
          <w:highlight w:val="none"/>
        </w:rPr>
        <w:t>技术安全</w:t>
      </w:r>
    </w:p>
    <w:p>
      <w:pPr>
        <w:adjustRightInd w:val="0"/>
        <w:snapToGrid w:val="0"/>
        <w:spacing w:line="300" w:lineRule="auto"/>
        <w:rPr>
          <w:rFonts w:hint="default" w:ascii="Times New Roman" w:hAnsi="Times New Roman" w:cs="Times New Roman"/>
          <w:sz w:val="24"/>
          <w:highlight w:val="none"/>
        </w:rPr>
      </w:pPr>
    </w:p>
    <w:p>
      <w:pPr>
        <w:adjustRightInd w:val="0"/>
        <w:snapToGrid w:val="0"/>
        <w:spacing w:line="300" w:lineRule="auto"/>
        <w:rPr>
          <w:rFonts w:hint="default" w:ascii="Times New Roman" w:hAnsi="Times New Roman" w:cs="Times New Roman"/>
          <w:sz w:val="24"/>
          <w:highlight w:val="none"/>
        </w:rPr>
      </w:pPr>
    </w:p>
    <w:p>
      <w:pPr>
        <w:adjustRightInd w:val="0"/>
        <w:snapToGrid w:val="0"/>
        <w:spacing w:line="300" w:lineRule="auto"/>
        <w:rPr>
          <w:rFonts w:hint="default" w:ascii="Times New Roman" w:hAnsi="Times New Roman" w:cs="Times New Roman"/>
          <w:sz w:val="24"/>
          <w:highlight w:val="none"/>
        </w:rPr>
      </w:pPr>
    </w:p>
    <w:p>
      <w:pPr>
        <w:adjustRightInd w:val="0"/>
        <w:snapToGrid w:val="0"/>
        <w:spacing w:line="300" w:lineRule="auto"/>
        <w:rPr>
          <w:rFonts w:hint="default" w:ascii="Times New Roman" w:hAnsi="Times New Roman" w:cs="Times New Roman"/>
          <w:sz w:val="24"/>
          <w:highlight w:val="none"/>
        </w:rPr>
      </w:pPr>
    </w:p>
    <w:p>
      <w:pPr>
        <w:adjustRightInd w:val="0"/>
        <w:snapToGrid w:val="0"/>
        <w:spacing w:line="300" w:lineRule="auto"/>
        <w:rPr>
          <w:rFonts w:hint="default" w:ascii="Times New Roman" w:hAnsi="Times New Roman" w:cs="Times New Roman"/>
          <w:sz w:val="24"/>
          <w:highlight w:val="none"/>
        </w:rPr>
      </w:pPr>
    </w:p>
    <w:p>
      <w:pPr>
        <w:adjustRightInd w:val="0"/>
        <w:snapToGrid w:val="0"/>
        <w:spacing w:line="300" w:lineRule="auto"/>
        <w:rPr>
          <w:rFonts w:hint="default" w:ascii="Times New Roman" w:hAnsi="Times New Roman" w:cs="Times New Roman"/>
          <w:sz w:val="24"/>
          <w:highlight w:val="none"/>
        </w:rPr>
      </w:pPr>
    </w:p>
    <w:p>
      <w:pPr>
        <w:rPr>
          <w:rFonts w:hint="default" w:ascii="Times New Roman" w:hAnsi="Times New Roman" w:cs="Times New Roman"/>
          <w:sz w:val="24"/>
          <w:highlight w:val="none"/>
        </w:rPr>
      </w:pPr>
      <w:r>
        <w:rPr>
          <w:rFonts w:hint="default" w:ascii="Times New Roman" w:hAnsi="Times New Roman" w:cs="Times New Roman"/>
          <w:sz w:val="24"/>
          <w:highlight w:val="none"/>
        </w:rPr>
        <w:br w:type="page"/>
      </w:r>
    </w:p>
    <w:p>
      <w:pPr>
        <w:pStyle w:val="2"/>
        <w:adjustRightInd w:val="0"/>
        <w:snapToGrid w:val="0"/>
        <w:spacing w:before="0" w:after="312" w:afterLines="100" w:line="300" w:lineRule="auto"/>
        <w:jc w:val="center"/>
        <w:rPr>
          <w:rFonts w:hint="default" w:ascii="Times New Roman" w:hAnsi="Times New Roman" w:cs="Times New Roman"/>
          <w:sz w:val="32"/>
          <w:szCs w:val="32"/>
          <w:highlight w:val="none"/>
        </w:rPr>
      </w:pPr>
      <w:bookmarkStart w:id="3" w:name="_Toc27359"/>
      <w:r>
        <w:rPr>
          <w:rFonts w:hint="default" w:ascii="Times New Roman" w:hAnsi="Times New Roman" w:cs="Times New Roman"/>
          <w:sz w:val="32"/>
          <w:szCs w:val="32"/>
          <w:highlight w:val="none"/>
        </w:rPr>
        <w:t>Abstract</w:t>
      </w:r>
      <w:bookmarkEnd w:id="3"/>
    </w:p>
    <w:p>
      <w:pPr>
        <w:adjustRightInd w:val="0"/>
        <w:snapToGrid w:val="0"/>
        <w:spacing w:line="30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This article explores the application of cryptocurrencies in international trade and the challenges they face. Cryptocurrencies show great potential in international trade with their advantages of low transaction costs, high security and transparency, promoting trade facilitation and inclusiveness, and promoting the development of cross-border e-commerce. However, regulatory inconsistencies, legal uncertainty, price volatility, financial market risks, anti-money laundering and anti-terrorist financing challenges brought about by anonymity, and technological security and stability risks also arise. To address these challenges, this paper proposes optimization strategies such as strengthening international cooperation, unifying regulatory standards, improving regulatory systems, establishing risk prevention and control mechanisms, improving technical security, ensuring transaction security, and strengthening public education and publicity. Through the implementation of these strategies, we aim to promote the healthy development of cryptocurrency in international trade and provide a more convenient, secure and efficient payment method for international trade.</w:t>
      </w:r>
    </w:p>
    <w:p>
      <w:pPr>
        <w:adjustRightInd w:val="0"/>
        <w:snapToGrid w:val="0"/>
        <w:spacing w:line="300" w:lineRule="auto"/>
        <w:rPr>
          <w:rFonts w:hint="default" w:ascii="Times New Roman" w:hAnsi="Times New Roman" w:cs="Times New Roman"/>
          <w:sz w:val="24"/>
          <w:highlight w:val="none"/>
        </w:rPr>
      </w:pPr>
    </w:p>
    <w:p>
      <w:pPr>
        <w:adjustRightInd w:val="0"/>
        <w:snapToGrid w:val="0"/>
        <w:spacing w:line="300" w:lineRule="auto"/>
        <w:rPr>
          <w:rFonts w:hint="default" w:ascii="Times New Roman" w:hAnsi="Times New Roman" w:cs="Times New Roman"/>
          <w:sz w:val="24"/>
          <w:highlight w:val="none"/>
        </w:rPr>
      </w:pPr>
      <w:r>
        <w:rPr>
          <w:rFonts w:hint="default" w:ascii="Times New Roman" w:hAnsi="Times New Roman" w:cs="Times New Roman"/>
          <w:sz w:val="24"/>
          <w:highlight w:val="none"/>
          <w:lang w:val="en-US" w:eastAsia="zh-CN"/>
        </w:rPr>
        <w:t>k</w:t>
      </w:r>
      <w:r>
        <w:rPr>
          <w:rFonts w:hint="default" w:ascii="Times New Roman" w:hAnsi="Times New Roman" w:cs="Times New Roman"/>
          <w:sz w:val="24"/>
          <w:highlight w:val="none"/>
        </w:rPr>
        <w:t>ey words:</w:t>
      </w:r>
      <w:r>
        <w:rPr>
          <w:rFonts w:hint="default" w:ascii="Times New Roman" w:hAnsi="Times New Roman" w:cs="Times New Roman"/>
          <w:sz w:val="24"/>
          <w:highlight w:val="none"/>
          <w:lang w:val="en-US" w:eastAsia="zh-CN"/>
        </w:rPr>
        <w:t>Cryptocurrency; International trade; Regulatory challenges; Optimization strategy; Technical safety</w:t>
      </w:r>
    </w:p>
    <w:p>
      <w:pPr>
        <w:adjustRightInd w:val="0"/>
        <w:snapToGrid w:val="0"/>
        <w:spacing w:line="300" w:lineRule="auto"/>
        <w:rPr>
          <w:rFonts w:hint="default" w:ascii="Times New Roman" w:hAnsi="Times New Roman" w:cs="Times New Roman"/>
          <w:sz w:val="24"/>
          <w:highlight w:val="none"/>
        </w:rPr>
      </w:pPr>
    </w:p>
    <w:p>
      <w:pPr>
        <w:adjustRightInd w:val="0"/>
        <w:snapToGrid w:val="0"/>
        <w:spacing w:line="300" w:lineRule="auto"/>
        <w:rPr>
          <w:rFonts w:hint="default" w:ascii="Times New Roman" w:hAnsi="Times New Roman" w:cs="Times New Roman"/>
          <w:sz w:val="24"/>
          <w:highlight w:val="none"/>
        </w:rPr>
      </w:pPr>
    </w:p>
    <w:p>
      <w:pPr>
        <w:adjustRightInd w:val="0"/>
        <w:snapToGrid w:val="0"/>
        <w:spacing w:line="300" w:lineRule="auto"/>
        <w:rPr>
          <w:rFonts w:hint="default" w:ascii="Times New Roman" w:hAnsi="Times New Roman" w:cs="Times New Roman"/>
          <w:sz w:val="24"/>
          <w:highlight w:val="none"/>
        </w:rPr>
      </w:pPr>
    </w:p>
    <w:p>
      <w:pPr>
        <w:adjustRightInd w:val="0"/>
        <w:snapToGrid w:val="0"/>
        <w:spacing w:line="300" w:lineRule="auto"/>
        <w:rPr>
          <w:rFonts w:hint="default" w:ascii="Times New Roman" w:hAnsi="Times New Roman" w:cs="Times New Roman"/>
          <w:sz w:val="24"/>
          <w:highlight w:val="none"/>
        </w:rPr>
      </w:pPr>
    </w:p>
    <w:p>
      <w:pPr>
        <w:adjustRightInd w:val="0"/>
        <w:snapToGrid w:val="0"/>
        <w:spacing w:line="300" w:lineRule="auto"/>
        <w:rPr>
          <w:rFonts w:hint="default" w:ascii="Times New Roman" w:hAnsi="Times New Roman" w:cs="Times New Roman"/>
          <w:sz w:val="24"/>
          <w:highlight w:val="none"/>
        </w:rPr>
      </w:pPr>
    </w:p>
    <w:p>
      <w:pPr>
        <w:adjustRightInd w:val="0"/>
        <w:snapToGrid w:val="0"/>
        <w:spacing w:line="300" w:lineRule="auto"/>
        <w:rPr>
          <w:rFonts w:hint="default" w:ascii="Times New Roman" w:hAnsi="Times New Roman" w:cs="Times New Roman"/>
          <w:sz w:val="24"/>
          <w:highlight w:val="none"/>
        </w:rPr>
        <w:sectPr>
          <w:headerReference r:id="rId5" w:type="default"/>
          <w:footerReference r:id="rId6" w:type="default"/>
          <w:pgSz w:w="11906" w:h="16838"/>
          <w:pgMar w:top="1440" w:right="1800" w:bottom="1440" w:left="1800" w:header="851" w:footer="992" w:gutter="0"/>
          <w:pgNumType w:fmt="upperRoman"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Times New Roman" w:hAnsi="Times New Roman" w:cs="Times New Roman"/>
          <w:b/>
          <w:kern w:val="44"/>
          <w:sz w:val="32"/>
          <w:szCs w:val="32"/>
          <w:highlight w:val="none"/>
        </w:rPr>
      </w:pPr>
      <w:bookmarkStart w:id="4" w:name="_Toc5483"/>
      <w:bookmarkStart w:id="5" w:name="_Toc31580"/>
      <w:bookmarkStart w:id="6" w:name="_Toc17380"/>
      <w:bookmarkStart w:id="7" w:name="_Toc6215"/>
      <w:bookmarkStart w:id="8" w:name="_Toc15743"/>
      <w:bookmarkStart w:id="9" w:name="_Toc8512"/>
      <w:bookmarkStart w:id="10" w:name="_Toc27434"/>
      <w:bookmarkStart w:id="11" w:name="_Toc12715"/>
      <w:r>
        <w:rPr>
          <w:rStyle w:val="15"/>
          <w:rFonts w:hint="default" w:ascii="Times New Roman" w:hAnsi="Times New Roman" w:cs="Times New Roman"/>
          <w:sz w:val="32"/>
          <w:szCs w:val="32"/>
          <w:highlight w:val="none"/>
          <w:lang w:val="en-US" w:eastAsia="zh-CN"/>
        </w:rPr>
        <w:t>目  录</w:t>
      </w:r>
      <w:bookmarkEnd w:id="4"/>
      <w:bookmarkEnd w:id="5"/>
      <w:bookmarkEnd w:id="6"/>
      <w:bookmarkEnd w:id="7"/>
      <w:bookmarkEnd w:id="8"/>
      <w:bookmarkEnd w:id="9"/>
      <w:bookmarkEnd w:id="10"/>
      <w:bookmarkEnd w:id="11"/>
    </w:p>
    <w:p>
      <w:pPr>
        <w:pStyle w:val="10"/>
        <w:keepNext w:val="0"/>
        <w:keepLines w:val="0"/>
        <w:pageBreakBefore w:val="0"/>
        <w:widowControl w:val="0"/>
        <w:tabs>
          <w:tab w:val="right" w:leader="dot" w:pos="8306"/>
        </w:tabs>
        <w:kinsoku/>
        <w:wordWrap/>
        <w:overflowPunct/>
        <w:topLinePunct w:val="0"/>
        <w:autoSpaceDE/>
        <w:autoSpaceDN/>
        <w:bidi w:val="0"/>
        <w:spacing w:line="300" w:lineRule="auto"/>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TOC \o "1-3" \h \u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_Toc23275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摘  要</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_Toc23275 \h </w:instrText>
      </w:r>
      <w:r>
        <w:rPr>
          <w:rFonts w:hint="eastAsia" w:ascii="宋体" w:hAnsi="宋体" w:eastAsia="宋体" w:cs="宋体"/>
          <w:sz w:val="24"/>
          <w:szCs w:val="24"/>
        </w:rPr>
        <w:fldChar w:fldCharType="separate"/>
      </w:r>
      <w:r>
        <w:rPr>
          <w:rFonts w:hint="eastAsia" w:ascii="宋体" w:hAnsi="宋体" w:eastAsia="宋体" w:cs="宋体"/>
          <w:sz w:val="24"/>
          <w:szCs w:val="24"/>
        </w:rPr>
        <w:t>I</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pPr>
        <w:pStyle w:val="10"/>
        <w:keepNext w:val="0"/>
        <w:keepLines w:val="0"/>
        <w:pageBreakBefore w:val="0"/>
        <w:widowControl w:val="0"/>
        <w:tabs>
          <w:tab w:val="right" w:leader="dot" w:pos="8306"/>
        </w:tabs>
        <w:kinsoku/>
        <w:wordWrap/>
        <w:overflowPunct/>
        <w:topLinePunct w:val="0"/>
        <w:autoSpaceDE/>
        <w:autoSpaceDN/>
        <w:bidi w:val="0"/>
        <w:spacing w:line="300" w:lineRule="auto"/>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_Toc27359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Abstract</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_Toc27359 \h </w:instrText>
      </w:r>
      <w:r>
        <w:rPr>
          <w:rFonts w:hint="eastAsia" w:ascii="宋体" w:hAnsi="宋体" w:eastAsia="宋体" w:cs="宋体"/>
          <w:sz w:val="24"/>
          <w:szCs w:val="24"/>
        </w:rPr>
        <w:fldChar w:fldCharType="separate"/>
      </w:r>
      <w:r>
        <w:rPr>
          <w:rFonts w:hint="eastAsia" w:ascii="宋体" w:hAnsi="宋体" w:eastAsia="宋体" w:cs="宋体"/>
          <w:sz w:val="24"/>
          <w:szCs w:val="24"/>
        </w:rPr>
        <w:t>II</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pPr>
        <w:pStyle w:val="10"/>
        <w:keepNext w:val="0"/>
        <w:keepLines w:val="0"/>
        <w:pageBreakBefore w:val="0"/>
        <w:widowControl w:val="0"/>
        <w:tabs>
          <w:tab w:val="right" w:leader="dot" w:pos="8306"/>
        </w:tabs>
        <w:kinsoku/>
        <w:wordWrap/>
        <w:overflowPunct/>
        <w:topLinePunct w:val="0"/>
        <w:autoSpaceDE/>
        <w:autoSpaceDN/>
        <w:bidi w:val="0"/>
        <w:spacing w:line="300" w:lineRule="auto"/>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_Toc19198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第1章 绪论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_Toc19198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pPr>
        <w:pStyle w:val="11"/>
        <w:keepNext w:val="0"/>
        <w:keepLines w:val="0"/>
        <w:pageBreakBefore w:val="0"/>
        <w:widowControl w:val="0"/>
        <w:tabs>
          <w:tab w:val="right" w:leader="dot" w:pos="8306"/>
        </w:tabs>
        <w:kinsoku/>
        <w:wordWrap/>
        <w:overflowPunct/>
        <w:topLinePunct w:val="0"/>
        <w:autoSpaceDE/>
        <w:autoSpaceDN/>
        <w:bidi w:val="0"/>
        <w:spacing w:line="300" w:lineRule="auto"/>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_Toc211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1.1 研究背景</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_Toc211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pPr>
        <w:pStyle w:val="11"/>
        <w:keepNext w:val="0"/>
        <w:keepLines w:val="0"/>
        <w:pageBreakBefore w:val="0"/>
        <w:widowControl w:val="0"/>
        <w:tabs>
          <w:tab w:val="right" w:leader="dot" w:pos="8306"/>
        </w:tabs>
        <w:kinsoku/>
        <w:wordWrap/>
        <w:overflowPunct/>
        <w:topLinePunct w:val="0"/>
        <w:autoSpaceDE/>
        <w:autoSpaceDN/>
        <w:bidi w:val="0"/>
        <w:spacing w:line="300" w:lineRule="auto"/>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_Toc14619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1.2 研究目的及意义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_Toc14619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pPr>
        <w:pStyle w:val="10"/>
        <w:keepNext w:val="0"/>
        <w:keepLines w:val="0"/>
        <w:pageBreakBefore w:val="0"/>
        <w:widowControl w:val="0"/>
        <w:tabs>
          <w:tab w:val="right" w:leader="dot" w:pos="8306"/>
        </w:tabs>
        <w:kinsoku/>
        <w:wordWrap/>
        <w:overflowPunct/>
        <w:topLinePunct w:val="0"/>
        <w:autoSpaceDE/>
        <w:autoSpaceDN/>
        <w:bidi w:val="0"/>
        <w:spacing w:line="300" w:lineRule="auto"/>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_Toc9569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第2章 加密货币在国际贸易中的应用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_Toc9569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pPr>
        <w:pStyle w:val="11"/>
        <w:keepNext w:val="0"/>
        <w:keepLines w:val="0"/>
        <w:pageBreakBefore w:val="0"/>
        <w:widowControl w:val="0"/>
        <w:tabs>
          <w:tab w:val="right" w:leader="dot" w:pos="8306"/>
        </w:tabs>
        <w:kinsoku/>
        <w:wordWrap/>
        <w:overflowPunct/>
        <w:topLinePunct w:val="0"/>
        <w:autoSpaceDE/>
        <w:autoSpaceDN/>
        <w:bidi w:val="0"/>
        <w:spacing w:line="300" w:lineRule="auto"/>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_Toc31202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2.1 降低交易成本与时间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_Toc31202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pPr>
        <w:pStyle w:val="11"/>
        <w:keepNext w:val="0"/>
        <w:keepLines w:val="0"/>
        <w:pageBreakBefore w:val="0"/>
        <w:widowControl w:val="0"/>
        <w:tabs>
          <w:tab w:val="right" w:leader="dot" w:pos="8306"/>
        </w:tabs>
        <w:kinsoku/>
        <w:wordWrap/>
        <w:overflowPunct/>
        <w:topLinePunct w:val="0"/>
        <w:autoSpaceDE/>
        <w:autoSpaceDN/>
        <w:bidi w:val="0"/>
        <w:spacing w:line="300" w:lineRule="auto"/>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_Toc26192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2.2 提高交易安全性与透明度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_Toc26192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pPr>
        <w:pStyle w:val="11"/>
        <w:keepNext w:val="0"/>
        <w:keepLines w:val="0"/>
        <w:pageBreakBefore w:val="0"/>
        <w:widowControl w:val="0"/>
        <w:tabs>
          <w:tab w:val="right" w:leader="dot" w:pos="8306"/>
        </w:tabs>
        <w:kinsoku/>
        <w:wordWrap/>
        <w:overflowPunct/>
        <w:topLinePunct w:val="0"/>
        <w:autoSpaceDE/>
        <w:autoSpaceDN/>
        <w:bidi w:val="0"/>
        <w:spacing w:line="300" w:lineRule="auto"/>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_Toc353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2.3 促进国际贸易便利化与普惠性</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_Toc353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pPr>
        <w:pStyle w:val="11"/>
        <w:keepNext w:val="0"/>
        <w:keepLines w:val="0"/>
        <w:pageBreakBefore w:val="0"/>
        <w:widowControl w:val="0"/>
        <w:tabs>
          <w:tab w:val="right" w:leader="dot" w:pos="8306"/>
        </w:tabs>
        <w:kinsoku/>
        <w:wordWrap/>
        <w:overflowPunct/>
        <w:topLinePunct w:val="0"/>
        <w:autoSpaceDE/>
        <w:autoSpaceDN/>
        <w:bidi w:val="0"/>
        <w:spacing w:line="300" w:lineRule="auto"/>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_Toc29838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2.4 推动跨境电子商务发展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_Toc29838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pPr>
        <w:pStyle w:val="10"/>
        <w:keepNext w:val="0"/>
        <w:keepLines w:val="0"/>
        <w:pageBreakBefore w:val="0"/>
        <w:widowControl w:val="0"/>
        <w:tabs>
          <w:tab w:val="right" w:leader="dot" w:pos="8306"/>
        </w:tabs>
        <w:kinsoku/>
        <w:wordWrap/>
        <w:overflowPunct/>
        <w:topLinePunct w:val="0"/>
        <w:autoSpaceDE/>
        <w:autoSpaceDN/>
        <w:bidi w:val="0"/>
        <w:spacing w:line="300" w:lineRule="auto"/>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_Toc23961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第3章 加密货币在国际贸易中面临的挑战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_Toc23961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pPr>
        <w:pStyle w:val="11"/>
        <w:keepNext w:val="0"/>
        <w:keepLines w:val="0"/>
        <w:pageBreakBefore w:val="0"/>
        <w:widowControl w:val="0"/>
        <w:tabs>
          <w:tab w:val="right" w:leader="dot" w:pos="8306"/>
        </w:tabs>
        <w:kinsoku/>
        <w:wordWrap/>
        <w:overflowPunct/>
        <w:topLinePunct w:val="0"/>
        <w:autoSpaceDE/>
        <w:autoSpaceDN/>
        <w:bidi w:val="0"/>
        <w:spacing w:line="300" w:lineRule="auto"/>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_Toc27576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3.1 监管不一致性与法律不确定性</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_Toc27576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pPr>
        <w:pStyle w:val="11"/>
        <w:keepNext w:val="0"/>
        <w:keepLines w:val="0"/>
        <w:pageBreakBefore w:val="0"/>
        <w:widowControl w:val="0"/>
        <w:tabs>
          <w:tab w:val="right" w:leader="dot" w:pos="8306"/>
        </w:tabs>
        <w:kinsoku/>
        <w:wordWrap/>
        <w:overflowPunct/>
        <w:topLinePunct w:val="0"/>
        <w:autoSpaceDE/>
        <w:autoSpaceDN/>
        <w:bidi w:val="0"/>
        <w:spacing w:line="300" w:lineRule="auto"/>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_Toc29382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3.2 价格波动与金融市场风险</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_Toc29382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pPr>
        <w:pStyle w:val="11"/>
        <w:keepNext w:val="0"/>
        <w:keepLines w:val="0"/>
        <w:pageBreakBefore w:val="0"/>
        <w:widowControl w:val="0"/>
        <w:tabs>
          <w:tab w:val="right" w:leader="dot" w:pos="8306"/>
        </w:tabs>
        <w:kinsoku/>
        <w:wordWrap/>
        <w:overflowPunct/>
        <w:topLinePunct w:val="0"/>
        <w:autoSpaceDE/>
        <w:autoSpaceDN/>
        <w:bidi w:val="0"/>
        <w:spacing w:line="300" w:lineRule="auto"/>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_Toc25035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3.3 匿名性与反洗钱、反恐怖融资挑战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_Toc25035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pPr>
        <w:pStyle w:val="11"/>
        <w:keepNext w:val="0"/>
        <w:keepLines w:val="0"/>
        <w:pageBreakBefore w:val="0"/>
        <w:widowControl w:val="0"/>
        <w:tabs>
          <w:tab w:val="right" w:leader="dot" w:pos="8306"/>
        </w:tabs>
        <w:kinsoku/>
        <w:wordWrap/>
        <w:overflowPunct/>
        <w:topLinePunct w:val="0"/>
        <w:autoSpaceDE/>
        <w:autoSpaceDN/>
        <w:bidi w:val="0"/>
        <w:spacing w:line="300" w:lineRule="auto"/>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_Toc32481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3.4 技术安全与稳定性风险</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_Toc32481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pPr>
        <w:pStyle w:val="10"/>
        <w:keepNext w:val="0"/>
        <w:keepLines w:val="0"/>
        <w:pageBreakBefore w:val="0"/>
        <w:widowControl w:val="0"/>
        <w:tabs>
          <w:tab w:val="right" w:leader="dot" w:pos="8306"/>
        </w:tabs>
        <w:kinsoku/>
        <w:wordWrap/>
        <w:overflowPunct/>
        <w:topLinePunct w:val="0"/>
        <w:autoSpaceDE/>
        <w:autoSpaceDN/>
        <w:bidi w:val="0"/>
        <w:spacing w:line="300" w:lineRule="auto"/>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_Toc17693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第4章 加密货币在国际贸易中的优化策略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_Toc17693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pPr>
        <w:pStyle w:val="11"/>
        <w:keepNext w:val="0"/>
        <w:keepLines w:val="0"/>
        <w:pageBreakBefore w:val="0"/>
        <w:widowControl w:val="0"/>
        <w:tabs>
          <w:tab w:val="right" w:leader="dot" w:pos="8306"/>
        </w:tabs>
        <w:kinsoku/>
        <w:wordWrap/>
        <w:overflowPunct/>
        <w:topLinePunct w:val="0"/>
        <w:autoSpaceDE/>
        <w:autoSpaceDN/>
        <w:bidi w:val="0"/>
        <w:spacing w:line="300" w:lineRule="auto"/>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_Toc17953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4.1 加强国际合作，统一监管标准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_Toc17953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pPr>
        <w:pStyle w:val="11"/>
        <w:keepNext w:val="0"/>
        <w:keepLines w:val="0"/>
        <w:pageBreakBefore w:val="0"/>
        <w:widowControl w:val="0"/>
        <w:tabs>
          <w:tab w:val="right" w:leader="dot" w:pos="8306"/>
        </w:tabs>
        <w:kinsoku/>
        <w:wordWrap/>
        <w:overflowPunct/>
        <w:topLinePunct w:val="0"/>
        <w:autoSpaceDE/>
        <w:autoSpaceDN/>
        <w:bidi w:val="0"/>
        <w:spacing w:line="300" w:lineRule="auto"/>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_Toc860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4.2 完善监管体系，建立风险防控机制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_Toc860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pPr>
        <w:pStyle w:val="11"/>
        <w:keepNext w:val="0"/>
        <w:keepLines w:val="0"/>
        <w:pageBreakBefore w:val="0"/>
        <w:widowControl w:val="0"/>
        <w:tabs>
          <w:tab w:val="right" w:leader="dot" w:pos="8306"/>
        </w:tabs>
        <w:kinsoku/>
        <w:wordWrap/>
        <w:overflowPunct/>
        <w:topLinePunct w:val="0"/>
        <w:autoSpaceDE/>
        <w:autoSpaceDN/>
        <w:bidi w:val="0"/>
        <w:spacing w:line="300" w:lineRule="auto"/>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_Toc6276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4.3 提升技术安全水平，保障交易安全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_Toc6276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pPr>
        <w:pStyle w:val="11"/>
        <w:keepNext w:val="0"/>
        <w:keepLines w:val="0"/>
        <w:pageBreakBefore w:val="0"/>
        <w:widowControl w:val="0"/>
        <w:tabs>
          <w:tab w:val="right" w:leader="dot" w:pos="8306"/>
        </w:tabs>
        <w:kinsoku/>
        <w:wordWrap/>
        <w:overflowPunct/>
        <w:topLinePunct w:val="0"/>
        <w:autoSpaceDE/>
        <w:autoSpaceDN/>
        <w:bidi w:val="0"/>
        <w:spacing w:line="300" w:lineRule="auto"/>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_Toc2417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4.4 加强公众教育与宣传，倡导理性投资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_Toc2417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pPr>
        <w:pStyle w:val="10"/>
        <w:keepNext w:val="0"/>
        <w:keepLines w:val="0"/>
        <w:pageBreakBefore w:val="0"/>
        <w:widowControl w:val="0"/>
        <w:tabs>
          <w:tab w:val="right" w:leader="dot" w:pos="8306"/>
        </w:tabs>
        <w:kinsoku/>
        <w:wordWrap/>
        <w:overflowPunct/>
        <w:topLinePunct w:val="0"/>
        <w:autoSpaceDE/>
        <w:autoSpaceDN/>
        <w:bidi w:val="0"/>
        <w:spacing w:line="300" w:lineRule="auto"/>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_Toc8362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第5章 结论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_Toc8362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pPr>
        <w:pStyle w:val="10"/>
        <w:keepNext w:val="0"/>
        <w:keepLines w:val="0"/>
        <w:pageBreakBefore w:val="0"/>
        <w:widowControl w:val="0"/>
        <w:tabs>
          <w:tab w:val="right" w:leader="dot" w:pos="8306"/>
        </w:tabs>
        <w:kinsoku/>
        <w:wordWrap/>
        <w:overflowPunct/>
        <w:topLinePunct w:val="0"/>
        <w:autoSpaceDE/>
        <w:autoSpaceDN/>
        <w:bidi w:val="0"/>
        <w:spacing w:line="300" w:lineRule="auto"/>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_Toc27502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参考文献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_Toc27502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pPr>
        <w:pStyle w:val="10"/>
        <w:keepNext w:val="0"/>
        <w:keepLines w:val="0"/>
        <w:pageBreakBefore w:val="0"/>
        <w:widowControl w:val="0"/>
        <w:tabs>
          <w:tab w:val="right" w:leader="dot" w:pos="8306"/>
        </w:tabs>
        <w:kinsoku/>
        <w:wordWrap/>
        <w:overflowPunct/>
        <w:topLinePunct w:val="0"/>
        <w:autoSpaceDE/>
        <w:autoSpaceDN/>
        <w:bidi w:val="0"/>
        <w:spacing w:line="300" w:lineRule="auto"/>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_Toc11914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致  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_Toc11914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Times New Roman" w:hAnsi="Times New Roman" w:eastAsia="宋体" w:cs="Times New Roman"/>
          <w:sz w:val="24"/>
          <w:szCs w:val="24"/>
          <w:highlight w:val="none"/>
        </w:rPr>
      </w:pPr>
      <w:r>
        <w:rPr>
          <w:rFonts w:hint="eastAsia" w:ascii="宋体" w:hAnsi="宋体" w:eastAsia="宋体" w:cs="宋体"/>
          <w:sz w:val="24"/>
          <w:szCs w:val="24"/>
          <w:highlight w:val="none"/>
        </w:rPr>
        <w:fldChar w:fldCharType="end"/>
      </w:r>
    </w:p>
    <w:p>
      <w:pPr>
        <w:adjustRightInd w:val="0"/>
        <w:snapToGrid w:val="0"/>
        <w:spacing w:line="300" w:lineRule="auto"/>
        <w:rPr>
          <w:rFonts w:hint="default" w:ascii="Times New Roman" w:hAnsi="Times New Roman" w:cs="Times New Roman"/>
          <w:sz w:val="24"/>
          <w:highlight w:val="none"/>
        </w:rPr>
      </w:pPr>
    </w:p>
    <w:p>
      <w:pPr>
        <w:adjustRightInd w:val="0"/>
        <w:snapToGrid w:val="0"/>
        <w:spacing w:line="300" w:lineRule="auto"/>
        <w:rPr>
          <w:rFonts w:hint="default" w:ascii="Times New Roman" w:hAnsi="Times New Roman" w:cs="Times New Roman"/>
          <w:sz w:val="24"/>
          <w:highlight w:val="none"/>
        </w:rPr>
      </w:pPr>
    </w:p>
    <w:p>
      <w:pPr>
        <w:adjustRightInd w:val="0"/>
        <w:snapToGrid w:val="0"/>
        <w:spacing w:line="300" w:lineRule="auto"/>
        <w:rPr>
          <w:rFonts w:hint="default" w:ascii="Times New Roman" w:hAnsi="Times New Roman" w:cs="Times New Roman"/>
          <w:sz w:val="24"/>
          <w:highlight w:val="none"/>
        </w:rPr>
        <w:sectPr>
          <w:pgSz w:w="11906" w:h="16838"/>
          <w:pgMar w:top="1440" w:right="1800" w:bottom="1440" w:left="1800" w:header="851" w:footer="992" w:gutter="0"/>
          <w:pgNumType w:fmt="upperRoman"/>
          <w:cols w:space="720" w:num="1"/>
          <w:docGrid w:type="lines" w:linePitch="312" w:charSpace="0"/>
        </w:sectPr>
      </w:pPr>
    </w:p>
    <w:p>
      <w:pPr>
        <w:pStyle w:val="2"/>
        <w:keepNext/>
        <w:keepLines/>
        <w:pageBreakBefore/>
        <w:widowControl w:val="0"/>
        <w:kinsoku/>
        <w:wordWrap/>
        <w:overflowPunct/>
        <w:topLinePunct w:val="0"/>
        <w:autoSpaceDE/>
        <w:autoSpaceDN/>
        <w:bidi w:val="0"/>
        <w:adjustRightInd w:val="0"/>
        <w:snapToGrid w:val="0"/>
        <w:spacing w:before="0" w:after="312" w:afterLines="100" w:line="300" w:lineRule="auto"/>
        <w:jc w:val="center"/>
        <w:textAlignment w:val="auto"/>
        <w:rPr>
          <w:rFonts w:hint="default" w:ascii="Times New Roman" w:hAnsi="Times New Roman" w:eastAsia="宋体" w:cs="Times New Roman"/>
          <w:sz w:val="32"/>
          <w:szCs w:val="32"/>
          <w:highlight w:val="none"/>
          <w:lang w:val="en-US" w:eastAsia="zh-CN"/>
        </w:rPr>
      </w:pPr>
      <w:bookmarkStart w:id="12" w:name="_Toc19198"/>
      <w:r>
        <w:rPr>
          <w:rFonts w:hint="default" w:ascii="Times New Roman" w:hAnsi="Times New Roman" w:eastAsia="宋体" w:cs="Times New Roman"/>
          <w:sz w:val="32"/>
          <w:szCs w:val="32"/>
          <w:highlight w:val="none"/>
          <w:lang w:val="en-US" w:eastAsia="zh-CN"/>
        </w:rPr>
        <w:t>第1章 绪论</w:t>
      </w:r>
      <w:bookmarkEnd w:id="12"/>
    </w:p>
    <w:p>
      <w:pPr>
        <w:pStyle w:val="3"/>
        <w:keepNext/>
        <w:keepLines/>
        <w:pageBreakBefore w:val="0"/>
        <w:widowControl w:val="0"/>
        <w:kinsoku/>
        <w:wordWrap/>
        <w:overflowPunct/>
        <w:topLinePunct w:val="0"/>
        <w:autoSpaceDE/>
        <w:autoSpaceDN/>
        <w:bidi w:val="0"/>
        <w:adjustRightInd w:val="0"/>
        <w:snapToGrid w:val="0"/>
        <w:spacing w:before="0" w:after="157" w:afterLines="50" w:line="300" w:lineRule="auto"/>
        <w:ind w:firstLine="562" w:firstLineChars="200"/>
        <w:textAlignment w:val="auto"/>
        <w:rPr>
          <w:rFonts w:hint="default" w:ascii="Times New Roman" w:hAnsi="Times New Roman" w:eastAsia="宋体" w:cs="Times New Roman"/>
          <w:sz w:val="28"/>
          <w:szCs w:val="28"/>
          <w:highlight w:val="none"/>
        </w:rPr>
      </w:pPr>
      <w:bookmarkStart w:id="13" w:name="_Toc25489"/>
      <w:bookmarkStart w:id="14" w:name="_Toc211"/>
      <w:r>
        <w:rPr>
          <w:rFonts w:hint="default" w:ascii="Times New Roman" w:hAnsi="Times New Roman" w:eastAsia="宋体" w:cs="Times New Roman"/>
          <w:sz w:val="28"/>
          <w:szCs w:val="28"/>
          <w:highlight w:val="none"/>
        </w:rPr>
        <w:t>1.1 研究背景</w:t>
      </w:r>
      <w:bookmarkEnd w:id="13"/>
      <w:bookmarkEnd w:id="14"/>
    </w:p>
    <w:p>
      <w:pPr>
        <w:pageBreakBefore w:val="0"/>
        <w:widowControl w:val="0"/>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eastAsia="zh-CN"/>
        </w:rPr>
        <w:t>随着科技的飞速发展和全球化的不断深入，国际贸易领域正经历着前所未有的变革。其中，加密货币作为一种基于区块链技术的创新金融工具，正逐渐在国际贸易中崭露头角。近年来，加密货币市场的快速增长和广泛应用，不仅吸引了大量投资者和用户的关注，也引发了学术界和产业界对其在国际贸易中作用的广泛讨论。加密货币具有去中心化、匿名性和可追溯性等特点，这些特性使得其在跨境交易中能够显著降低交易成本和时间，提高交易的安全性和透明度。在全球贸易日益频繁和复杂的背景下，加密货币的这些优势为国际贸易的便利化和普惠性提供了新的解决方案。随着区块链技术的不断成熟和应用场景的拓展，加密货币在国际贸易中的应用前景愈发广阔。从跨境支付、供应链金融到国际贸易融资等多个领域，加密货币都展现出了巨大的潜力和价值。这种新兴支付方式的兴起，不仅为传统金融体系带来了挑战，也为国际贸易的未来发展提供了新的机遇。加密货币在国际贸易中的应用也面临着诸多挑战。监管政策的不一致性、法律框架的缺失、价格波动大以及技术安全等问题，都限制了加密货币在国际贸易中的广泛应用。因此，深入研究加密货币在国际贸易中的应用与挑战，对于推动其健康发展、促进国际贸易的便利化和普惠性具有重要意义。</w:t>
      </w:r>
    </w:p>
    <w:p>
      <w:pPr>
        <w:pStyle w:val="3"/>
        <w:keepNext/>
        <w:keepLines/>
        <w:pageBreakBefore w:val="0"/>
        <w:widowControl w:val="0"/>
        <w:kinsoku/>
        <w:wordWrap/>
        <w:overflowPunct/>
        <w:topLinePunct w:val="0"/>
        <w:autoSpaceDE/>
        <w:autoSpaceDN/>
        <w:bidi w:val="0"/>
        <w:adjustRightInd w:val="0"/>
        <w:snapToGrid w:val="0"/>
        <w:spacing w:before="0" w:after="157" w:afterLines="50" w:line="300" w:lineRule="auto"/>
        <w:ind w:firstLine="562" w:firstLineChars="200"/>
        <w:textAlignment w:val="auto"/>
        <w:rPr>
          <w:rFonts w:hint="default" w:ascii="Times New Roman" w:hAnsi="Times New Roman" w:eastAsia="宋体" w:cs="Times New Roman"/>
          <w:sz w:val="28"/>
          <w:szCs w:val="28"/>
          <w:highlight w:val="none"/>
        </w:rPr>
      </w:pPr>
      <w:bookmarkStart w:id="15" w:name="_Toc26625"/>
      <w:bookmarkStart w:id="16" w:name="_Toc14619"/>
      <w:r>
        <w:rPr>
          <w:rFonts w:hint="default" w:ascii="Times New Roman" w:hAnsi="Times New Roman" w:eastAsia="宋体" w:cs="Times New Roman"/>
          <w:sz w:val="28"/>
          <w:szCs w:val="28"/>
          <w:highlight w:val="none"/>
        </w:rPr>
        <w:t>1.2 研究目的及意义</w:t>
      </w:r>
      <w:bookmarkEnd w:id="15"/>
      <w:bookmarkEnd w:id="16"/>
    </w:p>
    <w:p>
      <w:pPr>
        <w:pageBreakBefore w:val="0"/>
        <w:widowControl w:val="0"/>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eastAsia="zh-CN"/>
        </w:rPr>
        <w:t>本研究旨在全面剖析加密货币在国际贸易中的应用现状，深入探讨其带来的积极影响与面临的挑战，进而提出针对性的优化策略。具体而言，研究目的包括：首先，明确加密货币在降低交易成本、提高交易安全性与透明度、促进贸易便利化与普惠性等方面的具体作用；其次，系统分析加密货币应用过程中面临的监管、法律、金融市场、技术安全等多方面的挑战；最后，基于上述分析，提出切实可行的优化策略，以期为政策制定者、金融机构及国际贸易参与者提供有价值的参考。本研究具有重要的理论和实践意义。从理论层面看，通过深入研究加密货币在国际贸易中的应用与挑战，可以丰富和完善国际贸易支付体系、金融风险管理等相关领域的理论体系，为学术界提供新的研究视角和思路。从实践层面看，本研究有助于政策制定者更好地理解加密货币对国际贸易的影响，制定科学合理的监管政策；有助于金融机构优化服务流程，提高国际贸易支付效率；有助于国际贸易参与者把握市场机遇，规避潜在风险，实现可持续发展。因此，本研究对于推动加密货币在国际贸易中的健康有序发展、促进全球经济一体化和贸易便利化具有重要意义。</w:t>
      </w:r>
    </w:p>
    <w:p>
      <w:pPr>
        <w:pStyle w:val="2"/>
        <w:keepNext/>
        <w:keepLines/>
        <w:pageBreakBefore/>
        <w:widowControl w:val="0"/>
        <w:kinsoku/>
        <w:wordWrap/>
        <w:overflowPunct/>
        <w:topLinePunct w:val="0"/>
        <w:autoSpaceDE/>
        <w:autoSpaceDN/>
        <w:bidi w:val="0"/>
        <w:adjustRightInd w:val="0"/>
        <w:snapToGrid w:val="0"/>
        <w:spacing w:before="0" w:after="312" w:afterLines="100" w:line="300" w:lineRule="auto"/>
        <w:jc w:val="center"/>
        <w:textAlignment w:val="auto"/>
        <w:rPr>
          <w:rFonts w:hint="default" w:ascii="Times New Roman" w:hAnsi="Times New Roman" w:eastAsia="宋体" w:cs="Times New Roman"/>
          <w:sz w:val="32"/>
          <w:szCs w:val="32"/>
          <w:highlight w:val="none"/>
          <w:lang w:val="en-US" w:eastAsia="zh-CN"/>
        </w:rPr>
      </w:pPr>
      <w:bookmarkStart w:id="17" w:name="_Toc10300"/>
      <w:bookmarkStart w:id="18" w:name="_Toc9569"/>
      <w:r>
        <w:rPr>
          <w:rFonts w:hint="default" w:ascii="Times New Roman" w:hAnsi="Times New Roman" w:eastAsia="宋体" w:cs="Times New Roman"/>
          <w:sz w:val="32"/>
          <w:szCs w:val="32"/>
          <w:highlight w:val="none"/>
          <w:lang w:val="en-US" w:eastAsia="zh-CN"/>
        </w:rPr>
        <w:t>第</w:t>
      </w:r>
      <w:r>
        <w:rPr>
          <w:rFonts w:hint="eastAsia" w:ascii="Times New Roman" w:hAnsi="Times New Roman" w:eastAsia="宋体" w:cs="Times New Roman"/>
          <w:sz w:val="32"/>
          <w:szCs w:val="32"/>
          <w:highlight w:val="none"/>
          <w:lang w:val="en-US" w:eastAsia="zh-CN"/>
        </w:rPr>
        <w:t>2</w:t>
      </w:r>
      <w:r>
        <w:rPr>
          <w:rFonts w:hint="default" w:ascii="Times New Roman" w:hAnsi="Times New Roman" w:eastAsia="宋体" w:cs="Times New Roman"/>
          <w:sz w:val="32"/>
          <w:szCs w:val="32"/>
          <w:highlight w:val="none"/>
          <w:lang w:val="en-US" w:eastAsia="zh-CN"/>
        </w:rPr>
        <w:t>章 加密货币在国际贸易中的应用</w:t>
      </w:r>
      <w:bookmarkEnd w:id="17"/>
      <w:bookmarkEnd w:id="18"/>
    </w:p>
    <w:p>
      <w:pPr>
        <w:pStyle w:val="3"/>
        <w:keepNext/>
        <w:keepLines/>
        <w:pageBreakBefore w:val="0"/>
        <w:widowControl w:val="0"/>
        <w:kinsoku/>
        <w:wordWrap/>
        <w:overflowPunct/>
        <w:topLinePunct w:val="0"/>
        <w:autoSpaceDE/>
        <w:autoSpaceDN/>
        <w:bidi w:val="0"/>
        <w:adjustRightInd w:val="0"/>
        <w:snapToGrid w:val="0"/>
        <w:spacing w:before="0" w:after="157" w:afterLines="50" w:line="300" w:lineRule="auto"/>
        <w:ind w:firstLine="562" w:firstLineChars="200"/>
        <w:textAlignment w:val="auto"/>
        <w:rPr>
          <w:rFonts w:hint="default" w:ascii="Times New Roman" w:hAnsi="Times New Roman" w:eastAsia="宋体" w:cs="Times New Roman"/>
          <w:sz w:val="28"/>
          <w:szCs w:val="28"/>
          <w:highlight w:val="none"/>
        </w:rPr>
      </w:pPr>
      <w:bookmarkStart w:id="19" w:name="_Toc17366"/>
      <w:bookmarkStart w:id="20" w:name="_Toc31202"/>
      <w:r>
        <w:rPr>
          <w:rFonts w:hint="default" w:ascii="Times New Roman" w:hAnsi="Times New Roman" w:eastAsia="宋体" w:cs="Times New Roman"/>
          <w:sz w:val="28"/>
          <w:szCs w:val="28"/>
          <w:highlight w:val="none"/>
        </w:rPr>
        <w:t>2.1 降低交易成本与时间</w:t>
      </w:r>
      <w:bookmarkEnd w:id="19"/>
      <w:bookmarkEnd w:id="20"/>
    </w:p>
    <w:p>
      <w:pPr>
        <w:pageBreakBefore w:val="0"/>
        <w:widowControl w:val="0"/>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eastAsia="zh-CN"/>
        </w:rPr>
        <w:t>加密货币在国际贸易中的应用显著降低了交易成本与时间。传统的国际贸易通常涉及银行中介、汇率转换以及繁琐的合规流程，这些都会产生高昂的手续费和漫长的等待时间。据世界银行报告，跨境汇款平均费用约为6.8%，而加密货币的交易费用通常远低于这一比例，甚至在某些平台可以忽略不计。此外，通过区块链技术，加密货币交易可以实现近乎实时的清算和结算，大大缩短了交易周期，提高了资金周转效率。例如，马士基集团在2018年利用区块链平台，成功将货物运输过程中的文件处理时间从几天减少到几小时，显著降低了交易成本和时间延误带来的商业风险。因此，加密货币的广泛应用对于降低国际贸易成本、加速资金流转、提升全球贸易效率具有重要意义。</w:t>
      </w:r>
    </w:p>
    <w:p>
      <w:pPr>
        <w:pStyle w:val="3"/>
        <w:keepNext/>
        <w:keepLines/>
        <w:pageBreakBefore w:val="0"/>
        <w:widowControl w:val="0"/>
        <w:kinsoku/>
        <w:wordWrap/>
        <w:overflowPunct/>
        <w:topLinePunct w:val="0"/>
        <w:autoSpaceDE/>
        <w:autoSpaceDN/>
        <w:bidi w:val="0"/>
        <w:adjustRightInd w:val="0"/>
        <w:snapToGrid w:val="0"/>
        <w:spacing w:before="0" w:after="157" w:afterLines="50" w:line="300" w:lineRule="auto"/>
        <w:ind w:firstLine="562" w:firstLineChars="200"/>
        <w:textAlignment w:val="auto"/>
        <w:rPr>
          <w:rFonts w:hint="default" w:ascii="Times New Roman" w:hAnsi="Times New Roman" w:eastAsia="宋体" w:cs="Times New Roman"/>
          <w:sz w:val="28"/>
          <w:szCs w:val="28"/>
          <w:highlight w:val="none"/>
        </w:rPr>
      </w:pPr>
      <w:bookmarkStart w:id="21" w:name="_Toc19799"/>
      <w:bookmarkStart w:id="22" w:name="_Toc26192"/>
      <w:r>
        <w:rPr>
          <w:rFonts w:hint="default" w:ascii="Times New Roman" w:hAnsi="Times New Roman" w:eastAsia="宋体" w:cs="Times New Roman"/>
          <w:sz w:val="28"/>
          <w:szCs w:val="28"/>
          <w:highlight w:val="none"/>
        </w:rPr>
        <w:t>2.2 提高交易安全性与透明度</w:t>
      </w:r>
      <w:bookmarkEnd w:id="21"/>
      <w:bookmarkEnd w:id="22"/>
    </w:p>
    <w:p>
      <w:pPr>
        <w:pageBreakBefore w:val="0"/>
        <w:widowControl w:val="0"/>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eastAsia="zh-CN"/>
        </w:rPr>
        <w:t>加密货币的使用在国际贸易中显著提高了交易的安全性与透明度。传统的金融交易中，中介机构如银行扮演着信息验证和交易记录的角色，这不仅增加了交易成本，还可能导致信息不透明，滋生欺诈行为。然而，加密货币基于区块链技术，其分布式账本特性使得每一笔交易都能被公开、不可篡改地记录，从而提高了交易的透明度。比特币网络中的每一笔交易都可以通过公开的区块链浏览器进行查询，确保了交易的公开性，降低了欺诈风险。此外，加密货币的交易验证过程通常涉及复杂的加密算法，如比特币的SHA-256算法，这为交易信息提供了强大的安全保障。这些算法能够确保只有交易双方才能访问和使用交易信息，防止了未经授权的第三方窃取或篡改交易数据。</w:t>
      </w:r>
    </w:p>
    <w:p>
      <w:pPr>
        <w:pStyle w:val="3"/>
        <w:keepNext/>
        <w:keepLines/>
        <w:pageBreakBefore w:val="0"/>
        <w:widowControl w:val="0"/>
        <w:kinsoku/>
        <w:wordWrap/>
        <w:overflowPunct/>
        <w:topLinePunct w:val="0"/>
        <w:autoSpaceDE/>
        <w:autoSpaceDN/>
        <w:bidi w:val="0"/>
        <w:adjustRightInd w:val="0"/>
        <w:snapToGrid w:val="0"/>
        <w:spacing w:before="0" w:after="157" w:afterLines="50" w:line="300" w:lineRule="auto"/>
        <w:ind w:firstLine="562" w:firstLineChars="200"/>
        <w:textAlignment w:val="auto"/>
        <w:rPr>
          <w:rFonts w:hint="default" w:ascii="Times New Roman" w:hAnsi="Times New Roman" w:eastAsia="宋体" w:cs="Times New Roman"/>
          <w:sz w:val="28"/>
          <w:szCs w:val="28"/>
          <w:highlight w:val="none"/>
        </w:rPr>
      </w:pPr>
      <w:bookmarkStart w:id="23" w:name="_Toc2133"/>
      <w:bookmarkStart w:id="24" w:name="_Toc353"/>
      <w:r>
        <w:rPr>
          <w:rFonts w:hint="default" w:ascii="Times New Roman" w:hAnsi="Times New Roman" w:eastAsia="宋体" w:cs="Times New Roman"/>
          <w:sz w:val="28"/>
          <w:szCs w:val="28"/>
          <w:highlight w:val="none"/>
        </w:rPr>
        <w:t>2.3 促进国际贸易便利化与普惠性</w:t>
      </w:r>
      <w:bookmarkEnd w:id="23"/>
      <w:bookmarkEnd w:id="24"/>
    </w:p>
    <w:p>
      <w:pPr>
        <w:pageBreakBefore w:val="0"/>
        <w:widowControl w:val="0"/>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eastAsia="zh-CN"/>
        </w:rPr>
        <w:t>加密货币的出现为国际贸易带来了显著的变革，尤其是在促进交易便利化与普惠性方面。例如，比特币等加密货币的使用，使得小型企业和个人卖家能够绕过传统的金融机构，直接进行跨境交易，显著降低了交易成本。据世界银行数据显示，传统银行转账的平均费用为6.8%，而加密货币的交易费用通常远低于这一比例，这对于发展中国家的中小企业尤其有利，它们因此获得了更广阔的市场机会。加密货币的交易几乎可以实时完成，不受银行工作时间和节假日限制，大大缩短了资金清算时间，提高了交易效率。比如，非洲的商人现在可以利用加密货币在几分钟内收到来自全球的付款，而不再需要等待几天甚至更长的银行转账时间。这种即时性对于时间敏感的行业，如电子商务和国际物流，具有重大意义。加密货币的去中心化特性也有助于国际贸易的普惠性。它降低了对银行账户和信用评分的依赖，使得全球约17亿未银行化的成年人也能参与到国际贸易中来。这种金融包容性有助于打破贫困循环，推动全球经济的均衡发展。</w:t>
      </w:r>
    </w:p>
    <w:p>
      <w:pPr>
        <w:pStyle w:val="3"/>
        <w:keepNext/>
        <w:keepLines/>
        <w:pageBreakBefore w:val="0"/>
        <w:widowControl w:val="0"/>
        <w:kinsoku/>
        <w:wordWrap/>
        <w:overflowPunct/>
        <w:topLinePunct w:val="0"/>
        <w:autoSpaceDE/>
        <w:autoSpaceDN/>
        <w:bidi w:val="0"/>
        <w:adjustRightInd w:val="0"/>
        <w:snapToGrid w:val="0"/>
        <w:spacing w:before="0" w:after="157" w:afterLines="50" w:line="300" w:lineRule="auto"/>
        <w:ind w:firstLine="562" w:firstLineChars="200"/>
        <w:textAlignment w:val="auto"/>
        <w:rPr>
          <w:rFonts w:hint="default" w:ascii="Times New Roman" w:hAnsi="Times New Roman" w:eastAsia="宋体" w:cs="Times New Roman"/>
          <w:sz w:val="28"/>
          <w:szCs w:val="28"/>
          <w:highlight w:val="none"/>
        </w:rPr>
      </w:pPr>
      <w:bookmarkStart w:id="25" w:name="_Toc19341"/>
      <w:bookmarkStart w:id="26" w:name="_Toc29838"/>
      <w:r>
        <w:rPr>
          <w:rFonts w:hint="default" w:ascii="Times New Roman" w:hAnsi="Times New Roman" w:eastAsia="宋体" w:cs="Times New Roman"/>
          <w:sz w:val="28"/>
          <w:szCs w:val="28"/>
          <w:highlight w:val="none"/>
        </w:rPr>
        <w:t>2.4 推动跨境电子商务发展</w:t>
      </w:r>
      <w:bookmarkEnd w:id="25"/>
      <w:bookmarkEnd w:id="26"/>
    </w:p>
    <w:p>
      <w:pPr>
        <w:pageBreakBefore w:val="0"/>
        <w:widowControl w:val="0"/>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eastAsia="zh-CN"/>
        </w:rPr>
        <w:t>加密货币在国际贸易中的应用，尤其是在推动跨境电子商务发展方面，展现出了巨大的潜力。随着全球电子商务的快速增长，2020年全球跨境电商交易额达到了4.92万亿美元，预计到2025年将超过7.4万亿美元。在此背景下，加密货币以其去中心化、即时交易和低手续费的特性，为跨境电商提供了新的支付选项。例如，全球电商巨头亚马逊被传出考虑接受加密货币支付，这预示着行业趋势的转变。采用加密货币进行跨境交易，可以显著降低传统银行转账的高昂费用和时间延迟。据统计，平均而言，加密交易的手续费仅为传统银行转账的1/10，而且交易确认时间可从数天缩短至几分钟。此外，通过区块链技术，交易记录公开透明，有助于防止欺诈行为，增强买卖双方的信任，进一步促进跨境电商市场的繁荣。教育公众理解和适应这一新兴支付方式也是必要的步骤。通过教育和宣传，提高消费者对加密货币的认知，将有助于形成健康的市场环境，促进加密货币在跨境电商领域的广泛应用，从而推动全球贸易的持续增长。</w:t>
      </w:r>
    </w:p>
    <w:p>
      <w:pPr>
        <w:pStyle w:val="2"/>
        <w:keepNext/>
        <w:keepLines/>
        <w:pageBreakBefore/>
        <w:widowControl w:val="0"/>
        <w:kinsoku/>
        <w:wordWrap/>
        <w:overflowPunct/>
        <w:topLinePunct w:val="0"/>
        <w:autoSpaceDE/>
        <w:autoSpaceDN/>
        <w:bidi w:val="0"/>
        <w:adjustRightInd w:val="0"/>
        <w:snapToGrid w:val="0"/>
        <w:spacing w:before="0" w:after="312" w:afterLines="100" w:line="300" w:lineRule="auto"/>
        <w:jc w:val="center"/>
        <w:textAlignment w:val="auto"/>
        <w:rPr>
          <w:rFonts w:hint="default" w:ascii="Times New Roman" w:hAnsi="Times New Roman" w:eastAsia="宋体" w:cs="Times New Roman"/>
          <w:sz w:val="32"/>
          <w:szCs w:val="32"/>
          <w:highlight w:val="none"/>
          <w:lang w:val="en-US" w:eastAsia="zh-CN"/>
        </w:rPr>
      </w:pPr>
      <w:bookmarkStart w:id="27" w:name="_Toc30013"/>
      <w:bookmarkStart w:id="28" w:name="_Toc23961"/>
      <w:r>
        <w:rPr>
          <w:rFonts w:hint="default" w:ascii="Times New Roman" w:hAnsi="Times New Roman" w:eastAsia="宋体" w:cs="Times New Roman"/>
          <w:sz w:val="32"/>
          <w:szCs w:val="32"/>
          <w:highlight w:val="none"/>
          <w:lang w:val="en-US" w:eastAsia="zh-CN"/>
        </w:rPr>
        <w:t>第</w:t>
      </w:r>
      <w:r>
        <w:rPr>
          <w:rFonts w:hint="eastAsia" w:ascii="Times New Roman" w:hAnsi="Times New Roman" w:eastAsia="宋体" w:cs="Times New Roman"/>
          <w:sz w:val="32"/>
          <w:szCs w:val="32"/>
          <w:highlight w:val="none"/>
          <w:lang w:val="en-US" w:eastAsia="zh-CN"/>
        </w:rPr>
        <w:t>3</w:t>
      </w:r>
      <w:r>
        <w:rPr>
          <w:rFonts w:hint="default" w:ascii="Times New Roman" w:hAnsi="Times New Roman" w:eastAsia="宋体" w:cs="Times New Roman"/>
          <w:sz w:val="32"/>
          <w:szCs w:val="32"/>
          <w:highlight w:val="none"/>
          <w:lang w:val="en-US" w:eastAsia="zh-CN"/>
        </w:rPr>
        <w:t>章 加密货币在国际贸易中面临的挑战</w:t>
      </w:r>
      <w:bookmarkEnd w:id="27"/>
      <w:bookmarkEnd w:id="28"/>
    </w:p>
    <w:p>
      <w:pPr>
        <w:pStyle w:val="3"/>
        <w:keepNext/>
        <w:keepLines/>
        <w:pageBreakBefore w:val="0"/>
        <w:widowControl w:val="0"/>
        <w:kinsoku/>
        <w:wordWrap/>
        <w:overflowPunct/>
        <w:topLinePunct w:val="0"/>
        <w:autoSpaceDE/>
        <w:autoSpaceDN/>
        <w:bidi w:val="0"/>
        <w:adjustRightInd w:val="0"/>
        <w:snapToGrid w:val="0"/>
        <w:spacing w:before="0" w:after="157" w:afterLines="50" w:line="300" w:lineRule="auto"/>
        <w:ind w:firstLine="562" w:firstLineChars="200"/>
        <w:textAlignment w:val="auto"/>
        <w:rPr>
          <w:rFonts w:hint="default" w:ascii="Times New Roman" w:hAnsi="Times New Roman" w:eastAsia="宋体" w:cs="Times New Roman"/>
          <w:sz w:val="28"/>
          <w:szCs w:val="28"/>
          <w:highlight w:val="none"/>
        </w:rPr>
      </w:pPr>
      <w:bookmarkStart w:id="29" w:name="_Toc28250"/>
      <w:bookmarkStart w:id="30" w:name="_Toc27576"/>
      <w:r>
        <w:rPr>
          <w:rFonts w:hint="default" w:ascii="Times New Roman" w:hAnsi="Times New Roman" w:eastAsia="宋体" w:cs="Times New Roman"/>
          <w:sz w:val="28"/>
          <w:szCs w:val="28"/>
          <w:highlight w:val="none"/>
        </w:rPr>
        <w:t>3.1 监管不一致性与法律不确定性</w:t>
      </w:r>
      <w:bookmarkEnd w:id="29"/>
      <w:bookmarkEnd w:id="30"/>
    </w:p>
    <w:p>
      <w:pPr>
        <w:pageBreakBefore w:val="0"/>
        <w:widowControl w:val="0"/>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eastAsia="zh-CN"/>
        </w:rPr>
        <w:t>在全球范围内，加密货币在国际贸易中的应用日益广泛，但这也暴露出监管不一致性与法律不确定性的重大问题。不同国家和地区对加密货币的法律地位和监管政策存在显著差异，如美国将加密货币视为证券，而中国则禁止了加密货币的国内交易和ICO。这种差异导致了跨境交易的复杂性，增加了法律风险，可能使企业陷入合规困境。因此，建立统一的国际法律框架，以解决这一问题显得至关重要。监管的滞后性也加剧了法律不确定性。随着加密货币市场的快速发展，许多现有的法律法规无法适应新情况，导致监管空白。比如，国际清算银行在2019年的报告中指出，现有的反洗钱和反恐怖融资法规在面对加密货币时存在漏洞。这种状况可能导致不法分子利用加密货币进行非法交易，同时也对国际金融稳定构成潜在威胁。因此，各国监管机构需要加强合作，及时更新法规，以适应加密货币带来的新挑战。</w:t>
      </w:r>
    </w:p>
    <w:p>
      <w:pPr>
        <w:pStyle w:val="3"/>
        <w:keepNext/>
        <w:keepLines/>
        <w:pageBreakBefore w:val="0"/>
        <w:widowControl w:val="0"/>
        <w:kinsoku/>
        <w:wordWrap/>
        <w:overflowPunct/>
        <w:topLinePunct w:val="0"/>
        <w:autoSpaceDE/>
        <w:autoSpaceDN/>
        <w:bidi w:val="0"/>
        <w:adjustRightInd w:val="0"/>
        <w:snapToGrid w:val="0"/>
        <w:spacing w:before="0" w:after="157" w:afterLines="50" w:line="300" w:lineRule="auto"/>
        <w:ind w:firstLine="562" w:firstLineChars="200"/>
        <w:textAlignment w:val="auto"/>
        <w:rPr>
          <w:rFonts w:hint="default" w:ascii="Times New Roman" w:hAnsi="Times New Roman" w:eastAsia="宋体" w:cs="Times New Roman"/>
          <w:sz w:val="28"/>
          <w:szCs w:val="28"/>
          <w:highlight w:val="none"/>
        </w:rPr>
      </w:pPr>
      <w:bookmarkStart w:id="31" w:name="_Toc28652"/>
      <w:bookmarkStart w:id="32" w:name="_Toc29382"/>
      <w:r>
        <w:rPr>
          <w:rFonts w:hint="default" w:ascii="Times New Roman" w:hAnsi="Times New Roman" w:eastAsia="宋体" w:cs="Times New Roman"/>
          <w:sz w:val="28"/>
          <w:szCs w:val="28"/>
          <w:highlight w:val="none"/>
        </w:rPr>
        <w:t>3.2 价格波动与金融市场风险</w:t>
      </w:r>
      <w:bookmarkEnd w:id="31"/>
      <w:bookmarkEnd w:id="32"/>
    </w:p>
    <w:p>
      <w:pPr>
        <w:pageBreakBefore w:val="0"/>
        <w:widowControl w:val="0"/>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eastAsia="zh-CN"/>
        </w:rPr>
        <w:t>加密货币在国际贸易中的广泛应用，如比特币和以太坊，带来了显著的效率提升。然而，其价格波动性是不容忽视的挑战。以比特币为例，其价格在短期内可以上涨或下跌数千美元，这种剧烈波动给国际贸易的融资和结算带来了巨大的不确定性。例如，一家公司在签订合同时以比特币计价，如果价格在交易完成前大幅下跌，可能会导致实际收入大幅缩水，影响企业的财务稳定。金融市场中的其他参与者，如银行和投资者，也可能因加密货币的高风险性而持谨慎态度，限制了其在国际贸易中的广泛应用。价格波动还可能引发系统性金融风险。当大量投资者因为价格波动而急于买卖加密货币时，可能会对传统金融市场产生溢出效应，导致资产价格的连锁反应。2017年比特币泡沫破裂后，全球股市曾短暂出现调整，就是一个警示。因此，需要建立有效的风险管理框架，包括引入金融衍生品对冲风险，以及强化市场稳定性的监管措施。</w:t>
      </w:r>
    </w:p>
    <w:p>
      <w:pPr>
        <w:pStyle w:val="3"/>
        <w:keepNext/>
        <w:keepLines/>
        <w:pageBreakBefore w:val="0"/>
        <w:widowControl w:val="0"/>
        <w:kinsoku/>
        <w:wordWrap/>
        <w:overflowPunct/>
        <w:topLinePunct w:val="0"/>
        <w:autoSpaceDE/>
        <w:autoSpaceDN/>
        <w:bidi w:val="0"/>
        <w:adjustRightInd w:val="0"/>
        <w:snapToGrid w:val="0"/>
        <w:spacing w:before="0" w:after="157" w:afterLines="50" w:line="300" w:lineRule="auto"/>
        <w:ind w:firstLine="562" w:firstLineChars="200"/>
        <w:textAlignment w:val="auto"/>
        <w:rPr>
          <w:rFonts w:hint="default" w:ascii="Times New Roman" w:hAnsi="Times New Roman" w:eastAsia="宋体" w:cs="Times New Roman"/>
          <w:sz w:val="28"/>
          <w:szCs w:val="28"/>
          <w:highlight w:val="none"/>
        </w:rPr>
      </w:pPr>
      <w:bookmarkStart w:id="33" w:name="_Toc30252"/>
      <w:bookmarkStart w:id="34" w:name="_Toc25035"/>
      <w:r>
        <w:rPr>
          <w:rFonts w:hint="default" w:ascii="Times New Roman" w:hAnsi="Times New Roman" w:eastAsia="宋体" w:cs="Times New Roman"/>
          <w:sz w:val="28"/>
          <w:szCs w:val="28"/>
          <w:highlight w:val="none"/>
        </w:rPr>
        <w:t>3.3 匿名性与反洗钱、反恐怖融资挑战</w:t>
      </w:r>
      <w:bookmarkEnd w:id="33"/>
      <w:bookmarkEnd w:id="34"/>
    </w:p>
    <w:p>
      <w:pPr>
        <w:pageBreakBefore w:val="0"/>
        <w:widowControl w:val="0"/>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eastAsia="zh-CN"/>
        </w:rPr>
        <w:t>匿名性是加密货币的重要特征之一，它为用户提供了隐私保护，但同时也被一些不法分子利用进行洗钱和资助恐怖活动。据国际货币基金组织（IMF）的报告，2019年全球通过加密货币进行的非法交易估计超过20亿美元。这种匿名性挑战了现有的反洗钱（AML）和反恐怖融资（CFT）体系，因为传统的金融监管工具在加密货币领域可能失效。因此，需要在保护用户隐私权与打击非法活动之间找到平衡点，建立适应加密货币特性的AML/CFT框架。一方面，可以借鉴“了解你的客户”（KYC）原则，要求加密货币交易所和钱包服务提供商实施严格的用户身份验证。美国的FinCEN（金融犯罪执法网络）已经要求加密货币服务提供商执行此类政策。另一方面，可以开发新的技术解决方案，如区块链分析工具，追踪并识别可疑的交易模式。同时，国际组织和各国政府应加强合作，共享信息，共同打击利用加密货币的非法活动，确保全球金融系统的稳定和安全。</w:t>
      </w:r>
    </w:p>
    <w:p>
      <w:pPr>
        <w:pStyle w:val="3"/>
        <w:keepNext/>
        <w:keepLines/>
        <w:pageBreakBefore w:val="0"/>
        <w:widowControl w:val="0"/>
        <w:kinsoku/>
        <w:wordWrap/>
        <w:overflowPunct/>
        <w:topLinePunct w:val="0"/>
        <w:autoSpaceDE/>
        <w:autoSpaceDN/>
        <w:bidi w:val="0"/>
        <w:adjustRightInd w:val="0"/>
        <w:snapToGrid w:val="0"/>
        <w:spacing w:before="0" w:after="157" w:afterLines="50" w:line="300" w:lineRule="auto"/>
        <w:ind w:firstLine="562" w:firstLineChars="200"/>
        <w:textAlignment w:val="auto"/>
        <w:rPr>
          <w:rFonts w:hint="default" w:ascii="Times New Roman" w:hAnsi="Times New Roman" w:eastAsia="宋体" w:cs="Times New Roman"/>
          <w:sz w:val="28"/>
          <w:szCs w:val="28"/>
          <w:highlight w:val="none"/>
        </w:rPr>
      </w:pPr>
      <w:bookmarkStart w:id="35" w:name="_Toc3449"/>
      <w:bookmarkStart w:id="36" w:name="_Toc32481"/>
      <w:r>
        <w:rPr>
          <w:rFonts w:hint="default" w:ascii="Times New Roman" w:hAnsi="Times New Roman" w:eastAsia="宋体" w:cs="Times New Roman"/>
          <w:sz w:val="28"/>
          <w:szCs w:val="28"/>
          <w:highlight w:val="none"/>
        </w:rPr>
        <w:t>3.4 技术安全与稳定性风险</w:t>
      </w:r>
      <w:bookmarkEnd w:id="35"/>
      <w:bookmarkEnd w:id="36"/>
    </w:p>
    <w:p>
      <w:pPr>
        <w:pageBreakBefore w:val="0"/>
        <w:widowControl w:val="0"/>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eastAsia="zh-CN"/>
        </w:rPr>
        <w:t>尽管区块链技术以其去中心化、透明性和不可篡改性著称，但其技术本身仍存在潜在的安全漏洞。例如，智能合约的编写错误可能导致资金被盗或系统崩溃，影响加密货币交易的安全性。随着加密货币市场的不断扩大，黑客攻击的目标也日益增多。黑客可能利用系统漏洞、钓鱼网站、恶意软件等手段窃取用户私钥、盗取加密货币或干扰交易系统，给国际贸易参与者带来重大经济损失。私钥是加密货币安全性的关键。然而，私钥的丢失、被盗或管理不善都可能导致加密货币被盗用。国际贸易中涉及的加密货币交易量大、价值高，因此私钥管理的风险尤为突出。加密货币市场的价格波动极大，这种不稳定性给国际贸易带来了很大的风险。价格的大幅波动可能导致交易双方在合同签订后无法按预期价格完成交易，从而影响贸易的稳定性和可预测性。随着技术的不断进步，加密货币系统和区块链技术也需要不断更新和升级。然而，技术更新可能带来兼容性问题、操作风险等，影响系统的稳定性和可用性。加密货币的去中心化特性使得其难以受到传统金融体系的监管。然而，缺乏有效的监管可能导致市场操纵、欺诈等不法行为的发生，进而影响市场的稳定性和公平性。因此，如何在保护加密货币去中心化特性的同时加强监管是一个亟待解决的问题。</w:t>
      </w:r>
    </w:p>
    <w:p>
      <w:pPr>
        <w:pStyle w:val="2"/>
        <w:keepNext/>
        <w:keepLines/>
        <w:pageBreakBefore/>
        <w:widowControl w:val="0"/>
        <w:kinsoku/>
        <w:wordWrap/>
        <w:overflowPunct/>
        <w:topLinePunct w:val="0"/>
        <w:autoSpaceDE/>
        <w:autoSpaceDN/>
        <w:bidi w:val="0"/>
        <w:adjustRightInd w:val="0"/>
        <w:snapToGrid w:val="0"/>
        <w:spacing w:before="0" w:after="312" w:afterLines="100" w:line="300" w:lineRule="auto"/>
        <w:jc w:val="center"/>
        <w:textAlignment w:val="auto"/>
        <w:rPr>
          <w:rFonts w:hint="default" w:ascii="Times New Roman" w:hAnsi="Times New Roman" w:eastAsia="宋体" w:cs="Times New Roman"/>
          <w:sz w:val="32"/>
          <w:szCs w:val="32"/>
          <w:highlight w:val="none"/>
          <w:lang w:val="en-US" w:eastAsia="zh-CN"/>
        </w:rPr>
      </w:pPr>
      <w:bookmarkStart w:id="37" w:name="_Toc10391"/>
      <w:bookmarkStart w:id="38" w:name="_Toc17693"/>
      <w:r>
        <w:rPr>
          <w:rFonts w:hint="default" w:ascii="Times New Roman" w:hAnsi="Times New Roman" w:eastAsia="宋体" w:cs="Times New Roman"/>
          <w:sz w:val="32"/>
          <w:szCs w:val="32"/>
          <w:highlight w:val="none"/>
          <w:lang w:val="en-US" w:eastAsia="zh-CN"/>
        </w:rPr>
        <w:t>第</w:t>
      </w:r>
      <w:r>
        <w:rPr>
          <w:rFonts w:hint="eastAsia" w:ascii="Times New Roman" w:hAnsi="Times New Roman" w:eastAsia="宋体" w:cs="Times New Roman"/>
          <w:sz w:val="32"/>
          <w:szCs w:val="32"/>
          <w:highlight w:val="none"/>
          <w:lang w:val="en-US" w:eastAsia="zh-CN"/>
        </w:rPr>
        <w:t>4</w:t>
      </w:r>
      <w:r>
        <w:rPr>
          <w:rFonts w:hint="default" w:ascii="Times New Roman" w:hAnsi="Times New Roman" w:eastAsia="宋体" w:cs="Times New Roman"/>
          <w:sz w:val="32"/>
          <w:szCs w:val="32"/>
          <w:highlight w:val="none"/>
          <w:lang w:val="en-US" w:eastAsia="zh-CN"/>
        </w:rPr>
        <w:t>章 加密货币在国际贸易中的优化策略</w:t>
      </w:r>
      <w:bookmarkEnd w:id="37"/>
      <w:bookmarkEnd w:id="38"/>
    </w:p>
    <w:p>
      <w:pPr>
        <w:pStyle w:val="3"/>
        <w:keepNext/>
        <w:keepLines/>
        <w:pageBreakBefore w:val="0"/>
        <w:widowControl w:val="0"/>
        <w:kinsoku/>
        <w:wordWrap/>
        <w:overflowPunct/>
        <w:topLinePunct w:val="0"/>
        <w:autoSpaceDE/>
        <w:autoSpaceDN/>
        <w:bidi w:val="0"/>
        <w:adjustRightInd w:val="0"/>
        <w:snapToGrid w:val="0"/>
        <w:spacing w:before="0" w:after="157" w:afterLines="50" w:line="300" w:lineRule="auto"/>
        <w:ind w:firstLine="562" w:firstLineChars="200"/>
        <w:textAlignment w:val="auto"/>
        <w:rPr>
          <w:rFonts w:hint="default" w:ascii="Times New Roman" w:hAnsi="Times New Roman" w:eastAsia="宋体" w:cs="Times New Roman"/>
          <w:sz w:val="28"/>
          <w:szCs w:val="28"/>
          <w:highlight w:val="none"/>
        </w:rPr>
      </w:pPr>
      <w:bookmarkStart w:id="39" w:name="_Toc22172"/>
      <w:bookmarkStart w:id="40" w:name="_Toc17953"/>
      <w:r>
        <w:rPr>
          <w:rFonts w:hint="default" w:ascii="Times New Roman" w:hAnsi="Times New Roman" w:eastAsia="宋体" w:cs="Times New Roman"/>
          <w:sz w:val="28"/>
          <w:szCs w:val="28"/>
          <w:highlight w:val="none"/>
        </w:rPr>
        <w:t>4.1 加强国际合作，统一监管标准</w:t>
      </w:r>
      <w:bookmarkEnd w:id="39"/>
      <w:bookmarkEnd w:id="40"/>
    </w:p>
    <w:p>
      <w:pPr>
        <w:pageBreakBefore w:val="0"/>
        <w:widowControl w:val="0"/>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eastAsia="zh-CN"/>
        </w:rPr>
        <w:t>在全球化的背景下，加密货币在国际贸易中的应用日益广泛，但随之而来的监管不一致性问题也日益凸显。各国对加密货币的法律地位和监管政策差异巨大，如美国倾向于将加密货币视为证券，而中国则禁止了加密货币的国内交易。这种混乱的监管环境不仅阻碍了加密货币的健康发展，也增加了国际交易的风险。因此，建立全球监管协调机制是解决这一问题的关键所在。这需要各国监管机构共同探讨制定统一的国际法律框架，参照国际货币基金组织（IMF）和世界银行等国际组织的经验，构建一个全球性的加密货币监管合作网络。通过这样的机制，可以确保信息的及时共享，提高对跨境加密交易的监控效率，同时降低因监管差异导致的市场扭曲和投资者不确定性。</w:t>
      </w:r>
    </w:p>
    <w:p>
      <w:pPr>
        <w:pageBreakBefore w:val="0"/>
        <w:widowControl w:val="0"/>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eastAsia="zh-CN"/>
        </w:rPr>
        <w:t>在全球范围内，加密货币的快速发展与国际贸易的日益融合，凸显出制定统一的加密货币国际法律框架的紧迫性。目前，各国对加密货币的监管态度和法规差异较大，如美国的SEC、中国的央行等机构各自设定了不同的标准，导致国际交易中存在法律不确定性，阻碍了市场的健康发展。因此，建立一个全球共识的法律框架，可以为加密货币在国际贸易中的应用提供清晰的指导，减少法律风险，促进跨境资金流动的效率和安全性。这一框架应包括明确加密货币的法律地位、确立统一的发行和交易标准、设定反洗钱与反恐怖融资规则等方面。可以借鉴国际货币基金组织和世界银行在传统金融领域的经验，设立专门的工作组，邀请各国监管机构、行业专家和国际组织共同参与制定。同时，框架应具有一定的灵活性，以适应加密货币技术的快速迭代和创新。例如，可以设立定期评估和更新机制，确保法规与行业发展同步。制定统一的法律框架也需要充分考虑平衡创新与稳定的关系。因此，框架应鼓励技术创新，同时设置有效的风险防范措施，防止系统性金融风险的产生。通过这种方式，我们可以为加密货币在国际贸易中的广泛应用构建一个稳定、公平和可预测的法律环境，推动全球经济的包容性增长。</w:t>
      </w:r>
    </w:p>
    <w:p>
      <w:pPr>
        <w:pStyle w:val="3"/>
        <w:keepNext/>
        <w:keepLines/>
        <w:pageBreakBefore w:val="0"/>
        <w:widowControl w:val="0"/>
        <w:kinsoku/>
        <w:wordWrap/>
        <w:overflowPunct/>
        <w:topLinePunct w:val="0"/>
        <w:autoSpaceDE/>
        <w:autoSpaceDN/>
        <w:bidi w:val="0"/>
        <w:adjustRightInd w:val="0"/>
        <w:snapToGrid w:val="0"/>
        <w:spacing w:before="0" w:after="157" w:afterLines="50" w:line="300" w:lineRule="auto"/>
        <w:ind w:firstLine="562" w:firstLineChars="200"/>
        <w:textAlignment w:val="auto"/>
        <w:rPr>
          <w:rFonts w:hint="default" w:ascii="Times New Roman" w:hAnsi="Times New Roman" w:eastAsia="宋体" w:cs="Times New Roman"/>
          <w:sz w:val="28"/>
          <w:szCs w:val="28"/>
          <w:highlight w:val="none"/>
        </w:rPr>
      </w:pPr>
      <w:bookmarkStart w:id="41" w:name="_Toc8992"/>
      <w:bookmarkStart w:id="42" w:name="_Toc860"/>
      <w:r>
        <w:rPr>
          <w:rFonts w:hint="default" w:ascii="Times New Roman" w:hAnsi="Times New Roman" w:eastAsia="宋体" w:cs="Times New Roman"/>
          <w:sz w:val="28"/>
          <w:szCs w:val="28"/>
          <w:highlight w:val="none"/>
        </w:rPr>
        <w:t>4.2 完善监管体系，建立风险防控机制</w:t>
      </w:r>
      <w:bookmarkEnd w:id="41"/>
      <w:bookmarkEnd w:id="42"/>
    </w:p>
    <w:p>
      <w:pPr>
        <w:pageBreakBefore w:val="0"/>
        <w:widowControl w:val="0"/>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eastAsia="zh-CN"/>
        </w:rPr>
        <w:t>设立专门的加密货币监管机构是应对国际贸易中加密货币挑战的关键措施。随着加密货币在国际贸易中的应用日益广泛，其带来的金融稳定性和法律不确定性问题愈发突出。因此，建立一个专门的监管机构，可以集中专业力量，对这一新兴领域进行深度研究和有效监管。该机构的设立应包括以下几个方面：首先，它需要具备跨学科的专业知识，涵盖金融、法律、技术等多个领域，以全面理解并应对加密货币带来的复杂挑战。其次，监管机构应制定明确的规则和标准，为市场参与者提供清晰的行为指南，减少因法律不确定性导致的纠纷。此外，该机构还应与国际金融机构和各国监管机构紧密合作，共享信息，共同制定和执行全球统一的监管政策。以英国金融行为监管局（FCA）为蓝本，我们可以设想这个专门的加密货币监管机构将如何运作。FCA在处理金融科技创新时，采用了“创新沙盒”模式，允许企业在监管的框架内试错和学习，同时保护消费者利益。类似地，加密货币监管机构也可以创建一个创新测试环境，允许加密货币项目在可控的环境中发展和成熟，以平衡创新与风险。</w:t>
      </w:r>
    </w:p>
    <w:p>
      <w:pPr>
        <w:pageBreakBefore w:val="0"/>
        <w:widowControl w:val="0"/>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eastAsia="zh-CN"/>
        </w:rPr>
        <w:t>在加密货币应用于国际贸易的背景下，制定详细的风险评估与分类制度至关重要。这一制度旨在识别、量化和优先处理各种潜在风险，以确保交易的稳定性和安全性。可以建立一个包括技术风险、市场风险、法律风险和操作风险在内的多维度评估框架。因此，评估应包括定期的安全审计和应急响应计划的制定。市场风险则关注加密货币的价格波动，如比特币在2017年和2021年的价格剧烈波动，可能影响到交易方的财务稳定。法律风险涉及不同国家对加密货币的接受度和法规，如中国对加密货币的严格限制。最后，操作风险涵盖用户错误、内部欺诈和系统故障等，需要建立严格的操作流程和内部控制系统。通过这样的分类制度，可以更有效地管理和降低加密货币在国际贸易中的潜在风险，促进其健康、有序的发展。</w:t>
      </w:r>
    </w:p>
    <w:p>
      <w:pPr>
        <w:pStyle w:val="3"/>
        <w:keepNext/>
        <w:keepLines/>
        <w:pageBreakBefore w:val="0"/>
        <w:widowControl w:val="0"/>
        <w:kinsoku/>
        <w:wordWrap/>
        <w:overflowPunct/>
        <w:topLinePunct w:val="0"/>
        <w:autoSpaceDE/>
        <w:autoSpaceDN/>
        <w:bidi w:val="0"/>
        <w:adjustRightInd w:val="0"/>
        <w:snapToGrid w:val="0"/>
        <w:spacing w:before="0" w:after="157" w:afterLines="50" w:line="300" w:lineRule="auto"/>
        <w:ind w:firstLine="562" w:firstLineChars="200"/>
        <w:textAlignment w:val="auto"/>
        <w:rPr>
          <w:rFonts w:hint="default" w:ascii="Times New Roman" w:hAnsi="Times New Roman" w:eastAsia="宋体" w:cs="Times New Roman"/>
          <w:sz w:val="28"/>
          <w:szCs w:val="28"/>
          <w:highlight w:val="none"/>
        </w:rPr>
      </w:pPr>
      <w:bookmarkStart w:id="43" w:name="_Toc5328"/>
      <w:bookmarkStart w:id="44" w:name="_Toc6276"/>
      <w:r>
        <w:rPr>
          <w:rFonts w:hint="default" w:ascii="Times New Roman" w:hAnsi="Times New Roman" w:eastAsia="宋体" w:cs="Times New Roman"/>
          <w:sz w:val="28"/>
          <w:szCs w:val="28"/>
          <w:highlight w:val="none"/>
        </w:rPr>
        <w:t>4.3 提升技术安全水平，保障交易安全</w:t>
      </w:r>
      <w:bookmarkEnd w:id="43"/>
      <w:bookmarkEnd w:id="44"/>
    </w:p>
    <w:p>
      <w:pPr>
        <w:pageBreakBefore w:val="0"/>
        <w:widowControl w:val="0"/>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eastAsia="zh-CN"/>
        </w:rPr>
        <w:t>在加密货币应用于国际贸易的背景下，采用先进的加密与安全技术是确保交易安全、降低风险的关键。例如，区块链技术，作为许多加密货币的基础，其分布式账本特性可以有效防止数据篡改，保护交易信息的完整性。此外，采用如椭圆曲线加密算法等高级加密技术，可以确保交易数据在传输过程中的机密性，防止未经授权的访问或窃取。同时，为了应对不断演变的网络威胁，加密货币平台需要定期更新和修复系统漏洞，如比特币网络会定期进行硬分叉以升级安全性能。建立多层防御机制，包括防火墙、入侵检测系统和智能合约审计，能进一步增强系统的抗攻击能力，确保交易环境的稳定性。通过这些技术手段，可以为加密货币在国际贸易中的广泛应用提供坚实的安全保障，促进其健康、有序发展。在加密货币应用于国际贸易的背景下，提升技术安全水平至关重要，特别是在定期更新与修复系统漏洞方面。随着技术的快速发展，加密货币平台必须保持其系统的最新状态，以抵御不断演变的网络威胁。比特币网络已经历过多次重大升级，以增强交易效率和安全性。同时，定期的系统审计和漏洞赏金计划，如以太坊基金会的做法，可以鼓励安全专家发现并报告潜在的安全问题，从而提前修复，防止大规模的黑客攻击。这样的措施不仅保护了投资者的资产，也维护了加密货币作为国际贸易工具的信誉和稳定性。</w:t>
      </w:r>
    </w:p>
    <w:p>
      <w:pPr>
        <w:pStyle w:val="3"/>
        <w:keepNext/>
        <w:keepLines/>
        <w:pageBreakBefore w:val="0"/>
        <w:widowControl w:val="0"/>
        <w:kinsoku/>
        <w:wordWrap/>
        <w:overflowPunct/>
        <w:topLinePunct w:val="0"/>
        <w:autoSpaceDE/>
        <w:autoSpaceDN/>
        <w:bidi w:val="0"/>
        <w:adjustRightInd w:val="0"/>
        <w:snapToGrid w:val="0"/>
        <w:spacing w:before="0" w:after="157" w:afterLines="50" w:line="300" w:lineRule="auto"/>
        <w:ind w:firstLine="562" w:firstLineChars="200"/>
        <w:textAlignment w:val="auto"/>
        <w:rPr>
          <w:rFonts w:hint="default" w:ascii="Times New Roman" w:hAnsi="Times New Roman" w:eastAsia="宋体" w:cs="Times New Roman"/>
          <w:sz w:val="28"/>
          <w:szCs w:val="28"/>
          <w:highlight w:val="none"/>
        </w:rPr>
      </w:pPr>
      <w:bookmarkStart w:id="45" w:name="_Toc15024"/>
      <w:bookmarkStart w:id="46" w:name="_Toc2417"/>
      <w:r>
        <w:rPr>
          <w:rFonts w:hint="default" w:ascii="Times New Roman" w:hAnsi="Times New Roman" w:eastAsia="宋体" w:cs="Times New Roman"/>
          <w:sz w:val="28"/>
          <w:szCs w:val="28"/>
          <w:highlight w:val="none"/>
        </w:rPr>
        <w:t>4.4 加强公众教育与宣传，倡导理性投资</w:t>
      </w:r>
      <w:bookmarkEnd w:id="45"/>
      <w:bookmarkEnd w:id="46"/>
    </w:p>
    <w:p>
      <w:pPr>
        <w:pageBreakBefore w:val="0"/>
        <w:widowControl w:val="0"/>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eastAsia="zh-CN"/>
        </w:rPr>
        <w:t>在加密货币逐渐融入国际贸易的背景下，设立加密货币教育基金与项目显得尤为重要。这些项目旨在提高公众对加密货币的理解，以减少因信息不对称而产生的投资风险。例如，可以设立专项基金，资助研究机构和教育机构开发专门的加密货币课程，教授基本的区块链知识、加密货币的运作原理以及风险防范策略。此外，通过与社区合作，可以组织一系列的研讨会和工作坊，让投资者直接与行业专家交流，了解最新的市场动态和最佳实践。加密货币教育基金还可以用于创建在线学习平台，提供免费或低成本的学习资源，使全球各地的人都能接触到这些信息。例如，可以开发互动式模拟交易平台，让学习者在模拟环境中实践交易，理解市场波动的影响，从而培养出更理性的投资者。同时，通过设立奖学金计划，鼓励来自不同背景和经济条件的人群参与学习，进一步推动加密货币知识的普及和公平性。在加密货币在国际贸易中的应用与挑战这一主题中，制作并发布通俗易懂的教育材料至关重要。这些材料应以简单易懂的语言解释复杂的区块链技术和加密货币概念，如比特币和以太坊。例如，可以使用图表和动画来展示交易流程，使非专业背景的读者也能理解。同时，教育材料应包含实际案例以及小型企业如何利用加密货币降低跨境支付成本，以实例说明加密货币在实际贸易中的应用和影响。此外，对于价格波动和风险，可以引用知名投资者沃伦·巴菲特的警告，强调风险意识和谨慎投资的重要性。通过这种方式，公众可以更好地理解加密货币的机遇与挑战，从而做出更为明智的决策。</w:t>
      </w:r>
    </w:p>
    <w:p>
      <w:pPr>
        <w:pStyle w:val="2"/>
        <w:keepNext/>
        <w:keepLines/>
        <w:pageBreakBefore/>
        <w:widowControl w:val="0"/>
        <w:kinsoku/>
        <w:wordWrap/>
        <w:overflowPunct/>
        <w:topLinePunct w:val="0"/>
        <w:autoSpaceDE/>
        <w:autoSpaceDN/>
        <w:bidi w:val="0"/>
        <w:adjustRightInd w:val="0"/>
        <w:snapToGrid w:val="0"/>
        <w:spacing w:before="0" w:after="312" w:afterLines="100" w:line="300" w:lineRule="auto"/>
        <w:jc w:val="center"/>
        <w:textAlignment w:val="auto"/>
        <w:rPr>
          <w:rFonts w:hint="default" w:ascii="Times New Roman" w:hAnsi="Times New Roman" w:eastAsia="宋体" w:cs="Times New Roman"/>
          <w:sz w:val="32"/>
          <w:szCs w:val="32"/>
          <w:highlight w:val="none"/>
          <w:lang w:val="en-US" w:eastAsia="zh-CN"/>
        </w:rPr>
      </w:pPr>
      <w:bookmarkStart w:id="47" w:name="_Toc23468"/>
      <w:bookmarkStart w:id="48" w:name="_Toc8362"/>
      <w:r>
        <w:rPr>
          <w:rFonts w:hint="default" w:ascii="Times New Roman" w:hAnsi="Times New Roman" w:eastAsia="宋体" w:cs="Times New Roman"/>
          <w:sz w:val="32"/>
          <w:szCs w:val="32"/>
          <w:highlight w:val="none"/>
          <w:lang w:val="en-US" w:eastAsia="zh-CN"/>
        </w:rPr>
        <w:t>第</w:t>
      </w:r>
      <w:r>
        <w:rPr>
          <w:rFonts w:hint="eastAsia" w:ascii="Times New Roman" w:hAnsi="Times New Roman" w:eastAsia="宋体" w:cs="Times New Roman"/>
          <w:sz w:val="32"/>
          <w:szCs w:val="32"/>
          <w:highlight w:val="none"/>
          <w:lang w:val="en-US" w:eastAsia="zh-CN"/>
        </w:rPr>
        <w:t>5</w:t>
      </w:r>
      <w:r>
        <w:rPr>
          <w:rFonts w:hint="default" w:ascii="Times New Roman" w:hAnsi="Times New Roman" w:eastAsia="宋体" w:cs="Times New Roman"/>
          <w:sz w:val="32"/>
          <w:szCs w:val="32"/>
          <w:highlight w:val="none"/>
          <w:lang w:val="en-US" w:eastAsia="zh-CN"/>
        </w:rPr>
        <w:t>章 结论</w:t>
      </w:r>
      <w:bookmarkEnd w:id="47"/>
      <w:bookmarkEnd w:id="48"/>
    </w:p>
    <w:p>
      <w:pPr>
        <w:pageBreakBefore w:val="0"/>
        <w:widowControl w:val="0"/>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eastAsia="zh-CN"/>
        </w:rPr>
        <w:t>加密货币作为一种基于区块链技术的创新支付手段，在国际贸易中展现出了显著的优势。其去中心化、低交易成本、高透明度等特性，有效提升了国际贸易的效率和安全性，促进了贸易的便利化和普惠性。特别是在跨境支付和供应链金融等领域，加密货币的应用潜力巨大，为传统金融体系带来了变革性的机遇。与此同时，加密货币在国际贸易中的应用也面临着诸多挑战。监管政策的不一致性、法律框架的缺失、价格波动大以及技术安全等问题，都限制了其广泛应用和健康发展。这些挑战不仅要求政策制定者加强国际合作，制定统一的监管标准和法律框架，也要求金融机构和技术开发者不断提升技术安全水平，加强风险防控能力。加密货币在国际贸易中的应用是一个复杂而充满挑战的过程。未来，随着技术的不断进步和监管政策的逐步完善，加密货币有望在国际贸易中发挥更加重要的作用。同时，各方应共同努力，积极应对挑战，推动加密货币在国际贸易中的健康有序发展，为全球经济一体化和贸易便利化贡献力量。</w:t>
      </w:r>
    </w:p>
    <w:p/>
    <w:p/>
    <w:p>
      <w:pPr>
        <w:pStyle w:val="2"/>
        <w:bidi w:val="0"/>
        <w:outlineLvl w:val="9"/>
        <w:rPr>
          <w:rFonts w:hint="eastAsia"/>
          <w:lang w:val="en-US" w:eastAsia="zh-CN"/>
        </w:rPr>
        <w:sectPr>
          <w:footerReference r:id="rId7" w:type="default"/>
          <w:pgSz w:w="11906" w:h="16838"/>
          <w:pgMar w:top="1440" w:right="1800" w:bottom="1440" w:left="1800" w:header="851" w:footer="992" w:gutter="0"/>
          <w:pgNumType w:fmt="decimal" w:start="1"/>
          <w:cols w:space="425" w:num="1"/>
          <w:docGrid w:type="lines" w:linePitch="312" w:charSpace="0"/>
        </w:sectPr>
      </w:pPr>
    </w:p>
    <w:p>
      <w:pPr>
        <w:pStyle w:val="2"/>
        <w:keepNext/>
        <w:keepLines/>
        <w:pageBreakBefore/>
        <w:widowControl w:val="0"/>
        <w:kinsoku/>
        <w:wordWrap/>
        <w:overflowPunct/>
        <w:topLinePunct w:val="0"/>
        <w:autoSpaceDE/>
        <w:autoSpaceDN/>
        <w:bidi w:val="0"/>
        <w:adjustRightInd w:val="0"/>
        <w:snapToGrid w:val="0"/>
        <w:spacing w:before="0" w:after="312" w:afterLines="100" w:line="300" w:lineRule="auto"/>
        <w:jc w:val="center"/>
        <w:textAlignment w:val="auto"/>
        <w:rPr>
          <w:rFonts w:hint="eastAsia" w:ascii="Times New Roman" w:hAnsi="Times New Roman" w:eastAsia="宋体" w:cs="Times New Roman"/>
          <w:sz w:val="32"/>
          <w:szCs w:val="32"/>
          <w:highlight w:val="none"/>
          <w:lang w:val="en-US" w:eastAsia="zh-CN"/>
        </w:rPr>
      </w:pPr>
      <w:bookmarkStart w:id="49" w:name="_Toc27327"/>
      <w:bookmarkStart w:id="50" w:name="_Toc27502"/>
      <w:r>
        <w:rPr>
          <w:rFonts w:hint="eastAsia" w:ascii="Times New Roman" w:hAnsi="Times New Roman" w:eastAsia="宋体" w:cs="Times New Roman"/>
          <w:sz w:val="32"/>
          <w:szCs w:val="32"/>
          <w:highlight w:val="none"/>
          <w:lang w:val="en-US" w:eastAsia="zh-CN"/>
        </w:rPr>
        <w:t>参考文献</w:t>
      </w:r>
      <w:bookmarkEnd w:id="49"/>
      <w:bookmarkEnd w:id="50"/>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425" w:leftChars="0" w:hanging="425" w:firstLineChars="0"/>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[1] 楼尧.加密货币币价决定与挖矿行为的探索性研究[D].江西财经大学,2019.</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425" w:leftChars="0" w:hanging="425" w:firstLineChars="0"/>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[2] 朱齐举.世界变局下黄金能否再成为金本位货币的探讨[J].中国证券期货, 2023(4):47-52.</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425" w:leftChars="0" w:hanging="425" w:firstLineChars="0"/>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[3] 中国人民银行数字货币研究所课题组,赵鹞.泰达币(USDT)与人民币汇率相关性研究[J].金融研究, 2022(6):55-73.</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425" w:leftChars="0" w:hanging="425" w:firstLineChars="0"/>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[4] 李萌清.论加密数字货币对未来金融的巨大影响[J].商场现代化, 2021(12):3.</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425" w:leftChars="0" w:hanging="425" w:firstLineChars="0"/>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[5] 马塞洛·埃斯特沃,塔蒂亚娜·法尔科,陈新译.增强税收管理部门应对新旧挑战的能力[J].国际税收, 2023(2):41-46.</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425" w:leftChars="0" w:hanging="425" w:firstLineChars="0"/>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[6] 孙璐璐,潘玉蓉.央行:数字人民币目前发展重点是推进国内使用[J].企业观察家, 2021, 000(004):P.72-72.</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425" w:leftChars="0" w:hanging="425" w:firstLineChars="0"/>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[7] 石凯雁.央行数字货币应用对国际贸易规模的影响研究——基于货币认同和网络安全的中介效应[J].商业经济研究, 2023(12):135-139.</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425" w:leftChars="0" w:hanging="425" w:firstLineChars="0"/>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[8] 陈新禹.人民币汇率,物价水平和国际贸易结算[J].当代经济科学, 2019, 41(3):9.</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425" w:leftChars="0" w:hanging="425" w:firstLineChars="0"/>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[9] 张楫.基于货币交易职能分析"一带一路"背景下离岸市场人民币国际化[J].福建质量管理, 2019.</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425" w:leftChars="0" w:hanging="425" w:firstLineChars="0"/>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[10] 李婧,解祥优.黄金储备真能促进货币国际化吗?——以欧元国际化为例[J].  2021(2016-7):47-54.</w:t>
      </w:r>
    </w:p>
    <w:p>
      <w:pPr>
        <w:rPr>
          <w:rFonts w:hint="eastAsia"/>
          <w:lang w:val="en-US" w:eastAsia="zh-CN"/>
        </w:rPr>
      </w:pPr>
    </w:p>
    <w:p>
      <w:pPr>
        <w:pStyle w:val="2"/>
        <w:keepNext/>
        <w:keepLines/>
        <w:pageBreakBefore/>
        <w:widowControl w:val="0"/>
        <w:kinsoku/>
        <w:wordWrap/>
        <w:overflowPunct/>
        <w:topLinePunct w:val="0"/>
        <w:autoSpaceDE/>
        <w:autoSpaceDN/>
        <w:bidi w:val="0"/>
        <w:adjustRightInd w:val="0"/>
        <w:snapToGrid w:val="0"/>
        <w:spacing w:before="0" w:after="312" w:afterLines="100" w:line="300" w:lineRule="auto"/>
        <w:jc w:val="center"/>
        <w:textAlignment w:val="auto"/>
        <w:rPr>
          <w:rFonts w:hint="default" w:ascii="Times New Roman" w:hAnsi="Times New Roman" w:eastAsia="宋体" w:cs="Times New Roman"/>
          <w:sz w:val="32"/>
          <w:szCs w:val="32"/>
          <w:highlight w:val="none"/>
          <w:lang w:val="en-US" w:eastAsia="zh-CN"/>
        </w:rPr>
      </w:pPr>
      <w:bookmarkStart w:id="51" w:name="_Toc11914"/>
      <w:r>
        <w:rPr>
          <w:rFonts w:hint="default" w:ascii="Times New Roman" w:hAnsi="Times New Roman" w:eastAsia="宋体" w:cs="Times New Roman"/>
          <w:sz w:val="32"/>
          <w:szCs w:val="32"/>
          <w:highlight w:val="none"/>
          <w:lang w:val="en-US" w:eastAsia="zh-CN"/>
        </w:rPr>
        <w:t>致  谢</w:t>
      </w:r>
      <w:bookmarkEnd w:id="51"/>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衷心感谢在这段旅程中给予我无尽支持与帮助的人们。首先，我要向我的导师表达深深的谢意，是您的悉心指导和无私奉献，让我在学术道路上少走了许多弯路。同时，感谢我的家人，你们的理解、鼓励与默默付出，是我不断前行的强大动力。此外，我还要感谢我的同学们，与你们的讨论与交流，激发了我的思维火花，让我受益匪浅。在项目合作中，我们共同面对挑战，携手成长，这份情谊我将铭记于心。最后，感谢所有在幕后默默工作的人们，你们的辛勤付出为我们创造了良好的学习和研究环境。在此，我再次向所有帮助过我的人表示最诚挚的感谢。未来的日子里，我将带着这份感恩之心，继续努力，不辜负大家的期望。</w:t>
      </w:r>
    </w:p>
    <w:p>
      <w:pPr>
        <w:rPr>
          <w:rFonts w:hint="default" w:ascii="Times New Roman" w:hAnsi="Times New Roman" w:cs="Times New Roman"/>
          <w:sz w:val="24"/>
          <w:szCs w:val="24"/>
          <w:highlight w:val="none"/>
        </w:rPr>
      </w:pPr>
    </w:p>
    <w:p>
      <w:pPr>
        <w:rPr>
          <w:rFonts w:hint="default" w:ascii="Times New Roman" w:hAnsi="Times New Roman" w:cs="Times New Roman"/>
          <w:sz w:val="24"/>
          <w:szCs w:val="24"/>
          <w:highlight w:val="none"/>
        </w:rPr>
      </w:pPr>
    </w:p>
    <w:sectPr>
      <w:footerReference r:id="rId8"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imes New Roman" w:hAnsi="Times New Roman"/>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sz w:val="21"/>
        <w:szCs w:val="21"/>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imes New Roman" w:hAnsi="Times New Roman"/>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w:t>
                    </w:r>
                    <w:r>
                      <w:fldChar w:fldCharType="end"/>
                    </w:r>
                  </w:p>
                </w:txbxContent>
              </v:textbox>
            </v:shape>
          </w:pict>
        </mc:Fallback>
      </mc:AlternateContent>
    </w:r>
    <w:r>
      <w:rPr>
        <w:rFonts w:ascii="Times New Roman" w:hAnsi="Times New Roman"/>
        <w:sz w:val="21"/>
        <w:szCs w:val="21"/>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imes New Roman" w:hAnsi="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10</w:t>
                    </w:r>
                    <w:r>
                      <w:fldChar w:fldCharType="end"/>
                    </w:r>
                  </w:p>
                </w:txbxContent>
              </v:textbox>
            </v:shape>
          </w:pict>
        </mc:Fallback>
      </mc:AlternateContent>
    </w:r>
    <w:r>
      <w:rPr>
        <w:rFonts w:ascii="Times New Roman" w:hAnsi="Times New Roman"/>
        <w:sz w:val="21"/>
        <w:szCs w:val="21"/>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FFFFFF" w:sz="6" w:space="1"/>
      </w:pBdr>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000000" w:sz="4" w:space="1"/>
      </w:pBdr>
      <w:rPr>
        <w:b/>
        <w:bCs/>
        <w:sz w:val="21"/>
        <w:szCs w:val="21"/>
      </w:rPr>
    </w:pPr>
    <w:r>
      <w:rPr>
        <w:sz w:val="21"/>
        <w:szCs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GNDkccBAACZAwAADgAAAGRycy9lMm9Eb2MueG1srVPNjtMwEL4j8Q6W&#10;79TZC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pISxy0O/PL92+XHr8vPr6TO&#10;8gwBGsy6D5iXxjd+xKVZ/IDOzHpU0eYv8iEYR3HPV3HlmIjIj+p1XVcYEhhbLojPHp6HCOmt9JZk&#10;o6URp1dE5af3kKbUJSVXc/5OG1MmaNxfDsTMHpZ7n3rMVhr340xo77sz8hlw8C11uOeUmHcOdc07&#10;shhxMfaLcQxRH/qyRLkehNfHhE2U3nKFCXYujBMr7Obtyivx571kPfxR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2GNDkccBAACZAwAADgAAAAAAAAABACAAAAAeAQAAZHJzL2Uyb0RvYy54&#10;bWxQSwUGAAAAAAYABgBZAQAAVw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b/>
        <w:bCs/>
        <w:sz w:val="21"/>
        <w:szCs w:val="21"/>
      </w:rPr>
      <w:t>长春理工大学本科生毕业设计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zYzMwNTM5MmFkYjk1ZGU0MDVmMGI3MzFmZGVhMzYifQ=="/>
  </w:docVars>
  <w:rsids>
    <w:rsidRoot w:val="0073614F"/>
    <w:rsid w:val="0073614F"/>
    <w:rsid w:val="008B37F7"/>
    <w:rsid w:val="00E03E82"/>
    <w:rsid w:val="04217D20"/>
    <w:rsid w:val="05B66C8F"/>
    <w:rsid w:val="05CD3FD8"/>
    <w:rsid w:val="06540FF4"/>
    <w:rsid w:val="073A38EF"/>
    <w:rsid w:val="08412454"/>
    <w:rsid w:val="09C53944"/>
    <w:rsid w:val="0A734094"/>
    <w:rsid w:val="0AD44230"/>
    <w:rsid w:val="0C831895"/>
    <w:rsid w:val="0D837A0A"/>
    <w:rsid w:val="0DCF6148"/>
    <w:rsid w:val="0E4D5CB6"/>
    <w:rsid w:val="0ED65CAC"/>
    <w:rsid w:val="1022195B"/>
    <w:rsid w:val="120B433E"/>
    <w:rsid w:val="13765CAF"/>
    <w:rsid w:val="13A3232F"/>
    <w:rsid w:val="14B7032D"/>
    <w:rsid w:val="150D2643"/>
    <w:rsid w:val="153737F3"/>
    <w:rsid w:val="175A0D30"/>
    <w:rsid w:val="178A237C"/>
    <w:rsid w:val="188A360E"/>
    <w:rsid w:val="19E66970"/>
    <w:rsid w:val="1CD438CC"/>
    <w:rsid w:val="1CE0656D"/>
    <w:rsid w:val="1D8D6A75"/>
    <w:rsid w:val="1EA77665"/>
    <w:rsid w:val="20210D51"/>
    <w:rsid w:val="207E2C6F"/>
    <w:rsid w:val="20CD4C3D"/>
    <w:rsid w:val="21166415"/>
    <w:rsid w:val="21D07ACE"/>
    <w:rsid w:val="21DA435E"/>
    <w:rsid w:val="25B949AA"/>
    <w:rsid w:val="26DC702B"/>
    <w:rsid w:val="271B299E"/>
    <w:rsid w:val="27AE195C"/>
    <w:rsid w:val="27EF130A"/>
    <w:rsid w:val="281D5558"/>
    <w:rsid w:val="29BB5D72"/>
    <w:rsid w:val="2A851E4A"/>
    <w:rsid w:val="2A8E16D9"/>
    <w:rsid w:val="2AA711B9"/>
    <w:rsid w:val="2B556422"/>
    <w:rsid w:val="2CE52531"/>
    <w:rsid w:val="33244988"/>
    <w:rsid w:val="33361746"/>
    <w:rsid w:val="348E76C9"/>
    <w:rsid w:val="350E58DE"/>
    <w:rsid w:val="37BD18D7"/>
    <w:rsid w:val="384B5C50"/>
    <w:rsid w:val="38926838"/>
    <w:rsid w:val="39004758"/>
    <w:rsid w:val="398D772B"/>
    <w:rsid w:val="39CE5272"/>
    <w:rsid w:val="3AB00F11"/>
    <w:rsid w:val="3B977DC0"/>
    <w:rsid w:val="3C3420E0"/>
    <w:rsid w:val="3D7B789B"/>
    <w:rsid w:val="3F6F0804"/>
    <w:rsid w:val="3F8E15BB"/>
    <w:rsid w:val="42F74D3A"/>
    <w:rsid w:val="462F1B6A"/>
    <w:rsid w:val="46E36F26"/>
    <w:rsid w:val="49AA038F"/>
    <w:rsid w:val="49C600F0"/>
    <w:rsid w:val="49E33650"/>
    <w:rsid w:val="4AFB4595"/>
    <w:rsid w:val="4B536199"/>
    <w:rsid w:val="516657C8"/>
    <w:rsid w:val="516F16F1"/>
    <w:rsid w:val="53EC71E4"/>
    <w:rsid w:val="548B440F"/>
    <w:rsid w:val="55DD6EED"/>
    <w:rsid w:val="58BC103B"/>
    <w:rsid w:val="59EA35A8"/>
    <w:rsid w:val="5A4A01F0"/>
    <w:rsid w:val="5B17576C"/>
    <w:rsid w:val="5CA73DB1"/>
    <w:rsid w:val="5D7625E9"/>
    <w:rsid w:val="5FC9712F"/>
    <w:rsid w:val="605424A1"/>
    <w:rsid w:val="61B10465"/>
    <w:rsid w:val="62DA00CD"/>
    <w:rsid w:val="62DE42A4"/>
    <w:rsid w:val="63500460"/>
    <w:rsid w:val="63936E3D"/>
    <w:rsid w:val="65D927C0"/>
    <w:rsid w:val="66345C49"/>
    <w:rsid w:val="66F45E44"/>
    <w:rsid w:val="68C87588"/>
    <w:rsid w:val="69AF4F92"/>
    <w:rsid w:val="6A005ECF"/>
    <w:rsid w:val="6A185702"/>
    <w:rsid w:val="6B0F76F1"/>
    <w:rsid w:val="6DF07B20"/>
    <w:rsid w:val="6E337B9A"/>
    <w:rsid w:val="6E6C7865"/>
    <w:rsid w:val="6E9817AB"/>
    <w:rsid w:val="6FF676C3"/>
    <w:rsid w:val="70CE3BAA"/>
    <w:rsid w:val="71142A16"/>
    <w:rsid w:val="72084970"/>
    <w:rsid w:val="73B35F69"/>
    <w:rsid w:val="73BD6B59"/>
    <w:rsid w:val="74441452"/>
    <w:rsid w:val="74EF5803"/>
    <w:rsid w:val="758F1B5A"/>
    <w:rsid w:val="76BD44A5"/>
    <w:rsid w:val="77167521"/>
    <w:rsid w:val="7AFD7566"/>
    <w:rsid w:val="7B0C2804"/>
    <w:rsid w:val="7DBB54B6"/>
    <w:rsid w:val="7DCC4179"/>
    <w:rsid w:val="7F0133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5"/>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6"/>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pPr>
      <w:ind w:left="164"/>
    </w:pPr>
    <w:rPr>
      <w:rFonts w:ascii="宋体" w:hAnsi="宋体" w:eastAsia="宋体" w:cs="宋体"/>
      <w:sz w:val="24"/>
      <w:szCs w:val="24"/>
      <w:lang w:val="zh-CN" w:eastAsia="zh-CN" w:bidi="zh-CN"/>
    </w:rPr>
  </w:style>
  <w:style w:type="paragraph" w:styleId="7">
    <w:name w:val="toc 3"/>
    <w:basedOn w:val="1"/>
    <w:next w:val="1"/>
    <w:qFormat/>
    <w:uiPriority w:val="0"/>
    <w:pPr>
      <w:ind w:left="840" w:leftChars="400"/>
    </w:p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character" w:styleId="14">
    <w:name w:val="page number"/>
    <w:qFormat/>
    <w:uiPriority w:val="0"/>
  </w:style>
  <w:style w:type="character" w:customStyle="1" w:styleId="15">
    <w:name w:val="标题 1 Char"/>
    <w:link w:val="2"/>
    <w:qFormat/>
    <w:uiPriority w:val="0"/>
    <w:rPr>
      <w:b/>
      <w:kern w:val="44"/>
      <w:sz w:val="44"/>
    </w:rPr>
  </w:style>
  <w:style w:type="character" w:customStyle="1" w:styleId="16">
    <w:name w:val="标题 2 字符"/>
    <w:link w:val="3"/>
    <w:qFormat/>
    <w:uiPriority w:val="0"/>
    <w:rPr>
      <w:rFonts w:ascii="Arial" w:hAnsi="Arial" w:eastAsia="黑体"/>
      <w:b/>
      <w:sz w:val="32"/>
    </w:rPr>
  </w:style>
  <w:style w:type="character" w:customStyle="1" w:styleId="17">
    <w:name w:val="font11"/>
    <w:qFormat/>
    <w:uiPriority w:val="0"/>
    <w:rPr>
      <w:rFonts w:hint="eastAsia" w:ascii="宋体" w:hAnsi="宋体" w:eastAsia="宋体" w:cs="宋体"/>
      <w:color w:val="0000FF"/>
      <w:sz w:val="21"/>
      <w:szCs w:val="21"/>
      <w:u w:val="none"/>
      <w:vertAlign w:val="subscript"/>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12081</Words>
  <Characters>13582</Characters>
  <Lines>31</Lines>
  <Paragraphs>8</Paragraphs>
  <TotalTime>2</TotalTime>
  <ScaleCrop>false</ScaleCrop>
  <LinksUpToDate>false</LinksUpToDate>
  <CharactersWithSpaces>13906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2024-05-10T06:37:00Z</dcterms:created>
  <dc:creator>qiush</dc:creator>
  <cp:lastModifiedBy>WPS_1568694244</cp:lastModifiedBy>
  <dcterms:modified xsi:type="dcterms:W3CDTF">2024-10-14T05:53:23Z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71D40522D57B42EB99E3F4C29435A4C0_13</vt:lpwstr>
  </property>
</Properties>
</file>